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54C8" w14:textId="08C8B936" w:rsidR="00573608" w:rsidRPr="00AA5F9D" w:rsidRDefault="00573608" w:rsidP="00573608">
      <w:pPr>
        <w:adjustRightInd w:val="0"/>
        <w:snapToGrid w:val="0"/>
        <w:spacing w:line="240" w:lineRule="auto"/>
        <w:rPr>
          <w:b/>
        </w:rPr>
      </w:pPr>
      <w:r w:rsidRPr="00AA5F9D">
        <w:rPr>
          <w:b/>
        </w:rPr>
        <w:t>SUPPLEMENTARY</w:t>
      </w:r>
      <w:r w:rsidR="00A62EA0" w:rsidRPr="00AA5F9D">
        <w:rPr>
          <w:b/>
        </w:rPr>
        <w:t xml:space="preserve"> M</w:t>
      </w:r>
      <w:r w:rsidR="002A3232" w:rsidRPr="00AA5F9D">
        <w:rPr>
          <w:b/>
        </w:rPr>
        <w:t>ATERIAL</w:t>
      </w:r>
      <w:r w:rsidR="00A62EA0" w:rsidRPr="00AA5F9D">
        <w:rPr>
          <w:b/>
        </w:rPr>
        <w:t>:</w:t>
      </w:r>
      <w:r w:rsidR="00EC611F" w:rsidRPr="00AA5F9D">
        <w:rPr>
          <w:b/>
        </w:rPr>
        <w:t xml:space="preserve"> Combined </w:t>
      </w:r>
      <w:proofErr w:type="spellStart"/>
      <w:r w:rsidR="00EC611F" w:rsidRPr="00AA5F9D">
        <w:rPr>
          <w:b/>
        </w:rPr>
        <w:t>U</w:t>
      </w:r>
      <w:r w:rsidR="006E106D" w:rsidRPr="00AA5F9D">
        <w:rPr>
          <w:b/>
        </w:rPr>
        <w:t>series</w:t>
      </w:r>
      <w:proofErr w:type="spellEnd"/>
      <w:r w:rsidR="00EC611F" w:rsidRPr="00AA5F9D">
        <w:rPr>
          <w:b/>
        </w:rPr>
        <w:t>-ESR</w:t>
      </w:r>
      <w:r w:rsidR="006E106D" w:rsidRPr="00AA5F9D">
        <w:rPr>
          <w:b/>
        </w:rPr>
        <w:t xml:space="preserve"> dating</w:t>
      </w:r>
    </w:p>
    <w:p w14:paraId="54E4A944" w14:textId="77777777" w:rsidR="005118CF" w:rsidRPr="00AA5F9D" w:rsidRDefault="005118CF" w:rsidP="00573608">
      <w:pPr>
        <w:adjustRightInd w:val="0"/>
        <w:snapToGrid w:val="0"/>
        <w:spacing w:line="240" w:lineRule="auto"/>
        <w:rPr>
          <w:b/>
        </w:rPr>
      </w:pPr>
    </w:p>
    <w:p w14:paraId="701898D5" w14:textId="1228EF7E" w:rsidR="005118CF" w:rsidRPr="00AA5F9D" w:rsidRDefault="005118CF" w:rsidP="00573608">
      <w:pPr>
        <w:adjustRightInd w:val="0"/>
        <w:snapToGrid w:val="0"/>
        <w:spacing w:line="240" w:lineRule="auto"/>
        <w:rPr>
          <w:bCs/>
        </w:rPr>
      </w:pPr>
      <w:r w:rsidRPr="00AA5F9D">
        <w:rPr>
          <w:bCs/>
        </w:rPr>
        <w:t>Contains 5 Tables and 2 Figures following the text.</w:t>
      </w:r>
    </w:p>
    <w:p w14:paraId="3461A242" w14:textId="77777777" w:rsidR="00F235D8" w:rsidRPr="00AA5F9D" w:rsidRDefault="00F235D8" w:rsidP="00573608">
      <w:pPr>
        <w:adjustRightInd w:val="0"/>
        <w:snapToGrid w:val="0"/>
        <w:spacing w:line="240" w:lineRule="auto"/>
        <w:rPr>
          <w:rFonts w:eastAsia="Times Roman"/>
        </w:rPr>
      </w:pPr>
    </w:p>
    <w:p w14:paraId="5A7CFB33" w14:textId="77777777" w:rsidR="006E106D" w:rsidRPr="00AA5F9D" w:rsidRDefault="006E106D" w:rsidP="00F235D8">
      <w:pPr>
        <w:pStyle w:val="ListParagraph"/>
        <w:numPr>
          <w:ilvl w:val="0"/>
          <w:numId w:val="1"/>
        </w:numPr>
        <w:spacing w:afterLines="60" w:after="144" w:line="240" w:lineRule="auto"/>
        <w:ind w:left="0" w:firstLine="0"/>
        <w:rPr>
          <w:b/>
        </w:rPr>
      </w:pPr>
      <w:r w:rsidRPr="00AA5F9D">
        <w:rPr>
          <w:b/>
        </w:rPr>
        <w:t>Detailed analytical procedure</w:t>
      </w:r>
    </w:p>
    <w:p w14:paraId="07BDC3C6" w14:textId="77777777" w:rsidR="006E106D" w:rsidRPr="00AA5F9D" w:rsidRDefault="006E106D" w:rsidP="00F235D8">
      <w:pPr>
        <w:numPr>
          <w:ilvl w:val="1"/>
          <w:numId w:val="1"/>
        </w:numPr>
        <w:spacing w:afterLines="60" w:after="144" w:line="240" w:lineRule="auto"/>
        <w:ind w:left="0" w:firstLine="0"/>
        <w:rPr>
          <w:i/>
        </w:rPr>
      </w:pPr>
      <w:r w:rsidRPr="00AA5F9D">
        <w:rPr>
          <w:i/>
        </w:rPr>
        <w:t xml:space="preserve"> Sample preparation</w:t>
      </w:r>
    </w:p>
    <w:p w14:paraId="160C3A28" w14:textId="77777777" w:rsidR="006E106D" w:rsidRPr="00AA5F9D" w:rsidRDefault="006E106D" w:rsidP="00F235D8">
      <w:pPr>
        <w:spacing w:afterLines="60" w:after="144" w:line="240" w:lineRule="auto"/>
        <w:rPr>
          <w:lang w:val="en-GB"/>
        </w:rPr>
      </w:pPr>
      <w:r w:rsidRPr="00AA5F9D">
        <w:rPr>
          <w:lang w:val="en-GB"/>
        </w:rPr>
        <w:t>Dental tissues were mechanically separated and the enamel layer was cleaned on inner and outer sides with a dentist drill to eliminate the volume that received an external alpha dose. Initial and removed enamel thicknesses were measured.</w:t>
      </w:r>
      <w:r w:rsidRPr="00AA5F9D">
        <w:t xml:space="preserve"> The enamel and dentine samples were ground and sieved &lt;200 µm for subsequent bulk ESR and/or U-series analyses. </w:t>
      </w:r>
    </w:p>
    <w:p w14:paraId="6E1FBEFC" w14:textId="77777777" w:rsidR="006E106D" w:rsidRPr="00AA5F9D" w:rsidRDefault="006E106D" w:rsidP="00F235D8">
      <w:pPr>
        <w:numPr>
          <w:ilvl w:val="1"/>
          <w:numId w:val="1"/>
        </w:numPr>
        <w:spacing w:afterLines="60" w:after="144" w:line="240" w:lineRule="auto"/>
        <w:ind w:left="0" w:firstLine="0"/>
        <w:rPr>
          <w:i/>
        </w:rPr>
      </w:pPr>
      <w:r w:rsidRPr="00AA5F9D">
        <w:rPr>
          <w:i/>
        </w:rPr>
        <w:t xml:space="preserve"> ESR dose evaluation</w:t>
      </w:r>
    </w:p>
    <w:p w14:paraId="52EEBB10" w14:textId="77777777" w:rsidR="006E106D" w:rsidRPr="00AA5F9D" w:rsidRDefault="006E106D" w:rsidP="00F235D8">
      <w:pPr>
        <w:spacing w:afterLines="60" w:after="144" w:line="240" w:lineRule="auto"/>
      </w:pPr>
      <w:proofErr w:type="spellStart"/>
      <w:r w:rsidRPr="00AA5F9D">
        <w:rPr>
          <w:lang w:val="es-ES"/>
        </w:rPr>
        <w:t>The</w:t>
      </w:r>
      <w:proofErr w:type="spellEnd"/>
      <w:r w:rsidRPr="00AA5F9D">
        <w:rPr>
          <w:lang w:val="es-ES"/>
        </w:rPr>
        <w:t xml:space="preserve"> ESR </w:t>
      </w:r>
      <w:proofErr w:type="spellStart"/>
      <w:r w:rsidRPr="00AA5F9D">
        <w:rPr>
          <w:lang w:val="es-ES"/>
        </w:rPr>
        <w:t>dose</w:t>
      </w:r>
      <w:proofErr w:type="spellEnd"/>
      <w:r w:rsidRPr="00AA5F9D">
        <w:rPr>
          <w:lang w:val="es-ES"/>
        </w:rPr>
        <w:t xml:space="preserve"> </w:t>
      </w:r>
      <w:proofErr w:type="spellStart"/>
      <w:r w:rsidRPr="00AA5F9D">
        <w:rPr>
          <w:lang w:val="es-ES"/>
        </w:rPr>
        <w:t>evaluation</w:t>
      </w:r>
      <w:proofErr w:type="spellEnd"/>
      <w:r w:rsidRPr="00AA5F9D">
        <w:rPr>
          <w:lang w:val="es-ES"/>
        </w:rPr>
        <w:t xml:space="preserve"> </w:t>
      </w:r>
      <w:proofErr w:type="spellStart"/>
      <w:r w:rsidRPr="00AA5F9D">
        <w:rPr>
          <w:lang w:val="es-ES"/>
        </w:rPr>
        <w:t>was</w:t>
      </w:r>
      <w:proofErr w:type="spellEnd"/>
      <w:r w:rsidRPr="00AA5F9D">
        <w:rPr>
          <w:lang w:val="es-ES"/>
        </w:rPr>
        <w:t xml:space="preserve"> </w:t>
      </w:r>
      <w:proofErr w:type="spellStart"/>
      <w:r w:rsidRPr="00AA5F9D">
        <w:rPr>
          <w:lang w:val="es-ES"/>
        </w:rPr>
        <w:t>performed</w:t>
      </w:r>
      <w:proofErr w:type="spellEnd"/>
      <w:r w:rsidRPr="00AA5F9D">
        <w:rPr>
          <w:lang w:val="es-ES"/>
        </w:rPr>
        <w:t xml:space="preserve"> at </w:t>
      </w:r>
      <w:proofErr w:type="spellStart"/>
      <w:r w:rsidRPr="00AA5F9D">
        <w:rPr>
          <w:lang w:val="es-ES"/>
        </w:rPr>
        <w:t>the</w:t>
      </w:r>
      <w:proofErr w:type="spellEnd"/>
      <w:r w:rsidRPr="00AA5F9D">
        <w:rPr>
          <w:lang w:val="es-ES"/>
        </w:rPr>
        <w:t xml:space="preserve"> </w:t>
      </w:r>
      <w:r w:rsidRPr="00AA5F9D">
        <w:rPr>
          <w:i/>
          <w:lang w:val="es-ES"/>
        </w:rPr>
        <w:t>Centro Nacional de Investigación sobre la Evolución Humana</w:t>
      </w:r>
      <w:r w:rsidRPr="00AA5F9D">
        <w:rPr>
          <w:lang w:val="es-ES"/>
        </w:rPr>
        <w:t xml:space="preserve"> (CENIEH), </w:t>
      </w:r>
      <w:proofErr w:type="spellStart"/>
      <w:r w:rsidRPr="00AA5F9D">
        <w:rPr>
          <w:lang w:val="es-ES"/>
        </w:rPr>
        <w:t>Spain</w:t>
      </w:r>
      <w:proofErr w:type="spellEnd"/>
      <w:r w:rsidRPr="00AA5F9D">
        <w:rPr>
          <w:lang w:val="es-ES"/>
        </w:rPr>
        <w:t xml:space="preserve">. </w:t>
      </w:r>
      <w:r w:rsidRPr="00AA5F9D">
        <w:t xml:space="preserve">Dose evaluation utilised the multiple aliquot additive dose (MAAD) method. The enamel sample #582 was divided into 11 aliquots of ~20 mg each (Table S1). They were irradiated with a Cs-137 gamma source (dose rate = 5.6 Gy/min) to the following doses: 29.2, 58.5, 97.6, 146.4, 195.1, 292.8, 390.3, 487.9, 780.5 and 1463.6 Gy. One aliquot was kept untouched (= natural aliquot). </w:t>
      </w:r>
    </w:p>
    <w:p w14:paraId="2B8B35D9" w14:textId="77777777" w:rsidR="006E106D" w:rsidRPr="00AA5F9D" w:rsidRDefault="006E106D" w:rsidP="00F235D8">
      <w:pPr>
        <w:spacing w:afterLines="60" w:after="144" w:line="240" w:lineRule="auto"/>
      </w:pPr>
      <w:r w:rsidRPr="00AA5F9D">
        <w:t xml:space="preserve">ESR measurements were carried out at room temperature with an </w:t>
      </w:r>
      <w:proofErr w:type="spellStart"/>
      <w:r w:rsidRPr="00AA5F9D">
        <w:t>EMXmicro</w:t>
      </w:r>
      <w:proofErr w:type="spellEnd"/>
      <w:r w:rsidRPr="00AA5F9D">
        <w:t xml:space="preserve"> 6/1 Bruker ESR spectrometer coupled to a standard rectangular ER 4102ST cavity. The following procedure was used to minimise the analytical uncertainties: (</w:t>
      </w:r>
      <w:proofErr w:type="spellStart"/>
      <w:r w:rsidRPr="00AA5F9D">
        <w:t>i</w:t>
      </w:r>
      <w:proofErr w:type="spellEnd"/>
      <w:r w:rsidRPr="00AA5F9D">
        <w:t xml:space="preserve">) all aliquots of a given sample were carefully weighted into their corresponding tubes and a variation of &lt;1 mg was tolerated between aliquots; (ii) ESR measurements were performed using a Teflon sample tube holder inserted from the bottom of the cavity to ensure that the vertical position of the tubes remains exactly the same for all aliquots. The following acquisition parameters were used: 2-30 scans depending on the aliquot, 1 </w:t>
      </w:r>
      <w:proofErr w:type="spellStart"/>
      <w:r w:rsidRPr="00AA5F9D">
        <w:t>mW</w:t>
      </w:r>
      <w:proofErr w:type="spellEnd"/>
      <w:r w:rsidRPr="00AA5F9D">
        <w:t xml:space="preserve"> microwave power, 1024 points resolution, 13 </w:t>
      </w:r>
      <w:proofErr w:type="spellStart"/>
      <w:r w:rsidRPr="00AA5F9D">
        <w:t>mT</w:t>
      </w:r>
      <w:proofErr w:type="spellEnd"/>
      <w:r w:rsidRPr="00AA5F9D">
        <w:t xml:space="preserve"> sweep width, 100 kHz modulation frequency, 0.1 </w:t>
      </w:r>
      <w:proofErr w:type="spellStart"/>
      <w:r w:rsidRPr="00AA5F9D">
        <w:t>mT</w:t>
      </w:r>
      <w:proofErr w:type="spellEnd"/>
      <w:r w:rsidRPr="00AA5F9D">
        <w:t xml:space="preserve"> modulation amplitude, 20 </w:t>
      </w:r>
      <w:proofErr w:type="spellStart"/>
      <w:r w:rsidRPr="00AA5F9D">
        <w:t>ms</w:t>
      </w:r>
      <w:proofErr w:type="spellEnd"/>
      <w:r w:rsidRPr="00AA5F9D">
        <w:t xml:space="preserve"> conversion time and 5 </w:t>
      </w:r>
      <w:proofErr w:type="spellStart"/>
      <w:r w:rsidRPr="00AA5F9D">
        <w:t>ms</w:t>
      </w:r>
      <w:proofErr w:type="spellEnd"/>
      <w:r w:rsidRPr="00AA5F9D">
        <w:t xml:space="preserve"> time constant. This procedure was repeated three to five times over successive days without removing the enamel from the ESR tubes between measurements in order to evaluate measurement repeatability. </w:t>
      </w:r>
    </w:p>
    <w:p w14:paraId="169D81ED" w14:textId="18498A04" w:rsidR="006E106D" w:rsidRPr="00AA5F9D" w:rsidRDefault="006E106D" w:rsidP="00F235D8">
      <w:pPr>
        <w:spacing w:afterLines="60" w:after="144" w:line="240" w:lineRule="auto"/>
      </w:pPr>
      <w:r w:rsidRPr="00AA5F9D">
        <w:t>The ESR intensities were extracted from T1-B2 peak-to-peak amplitudes of the ESR signal (Grün, 2000</w:t>
      </w:r>
      <w:r w:rsidR="00567DD4">
        <w:t>a</w:t>
      </w:r>
      <w:r w:rsidRPr="00AA5F9D">
        <w:t xml:space="preserve">), and then normalised to the corresponding number of scans and aliquot mass. Baseline correction was applied to all spectra with a cubic function using Bruker </w:t>
      </w:r>
      <w:proofErr w:type="spellStart"/>
      <w:r w:rsidRPr="00AA5F9D">
        <w:t>WinEPR</w:t>
      </w:r>
      <w:proofErr w:type="spellEnd"/>
      <w:r w:rsidRPr="00AA5F9D">
        <w:t xml:space="preserve"> Processing software. High-frequency background noise was evaluated and subtracted as described in Arnold et al., (2024). D</w:t>
      </w:r>
      <w:r w:rsidRPr="00AA5F9D">
        <w:rPr>
          <w:vertAlign w:val="subscript"/>
        </w:rPr>
        <w:t>E</w:t>
      </w:r>
      <w:r w:rsidRPr="00AA5F9D">
        <w:t xml:space="preserve"> values were obtained by fitting a single saturating exponential (SSE) function (Duval et al., 2009) through the mean ESR intensities derived from the repeated measurements. Fitting was performed </w:t>
      </w:r>
      <w:r w:rsidRPr="00AA5F9D">
        <w:rPr>
          <w:lang w:val="en-GB"/>
        </w:rPr>
        <w:t xml:space="preserve">with </w:t>
      </w:r>
      <w:proofErr w:type="spellStart"/>
      <w:r w:rsidRPr="00AA5F9D">
        <w:rPr>
          <w:lang w:val="en-GB"/>
        </w:rPr>
        <w:t>Microcal</w:t>
      </w:r>
      <w:proofErr w:type="spellEnd"/>
      <w:r w:rsidRPr="00AA5F9D">
        <w:rPr>
          <w:lang w:val="en-GB"/>
        </w:rPr>
        <w:t xml:space="preserve"> </w:t>
      </w:r>
      <w:proofErr w:type="spellStart"/>
      <w:r w:rsidRPr="00AA5F9D">
        <w:rPr>
          <w:lang w:val="en-GB"/>
        </w:rPr>
        <w:t>OriginPro</w:t>
      </w:r>
      <w:proofErr w:type="spellEnd"/>
      <w:r w:rsidRPr="00AA5F9D">
        <w:rPr>
          <w:lang w:val="en-GB"/>
        </w:rPr>
        <w:t xml:space="preserve"> 9.1 software, which is based on a Levenberg-Marquardt algorithm by chi-square minimisation</w:t>
      </w:r>
      <w:r w:rsidRPr="00AA5F9D">
        <w:t xml:space="preserve">. </w:t>
      </w:r>
      <w:r w:rsidRPr="00AA5F9D">
        <w:rPr>
          <w:lang w:val="en-GB"/>
        </w:rPr>
        <w:t>Da</w:t>
      </w:r>
      <w:r w:rsidRPr="00AA5F9D">
        <w:t>ta were weighted by the inverse of the squared ESR intensity (1/I</w:t>
      </w:r>
      <w:r w:rsidRPr="00AA5F9D">
        <w:rPr>
          <w:vertAlign w:val="superscript"/>
        </w:rPr>
        <w:t>2</w:t>
      </w:r>
      <w:r w:rsidRPr="00AA5F9D">
        <w:t>) (Grün and Brumby, 1994) or the inverse of the squared experimental errors (1/s</w:t>
      </w:r>
      <w:r w:rsidRPr="00AA5F9D">
        <w:rPr>
          <w:vertAlign w:val="superscript"/>
        </w:rPr>
        <w:t>2</w:t>
      </w:r>
      <w:r w:rsidRPr="00AA5F9D">
        <w:t>).</w:t>
      </w:r>
    </w:p>
    <w:p w14:paraId="338E2E80" w14:textId="77777777" w:rsidR="006E106D" w:rsidRPr="00AA5F9D" w:rsidRDefault="006E106D" w:rsidP="00F235D8">
      <w:pPr>
        <w:pStyle w:val="ListParagraph"/>
        <w:numPr>
          <w:ilvl w:val="1"/>
          <w:numId w:val="1"/>
        </w:numPr>
        <w:spacing w:afterLines="60" w:after="144" w:line="240" w:lineRule="auto"/>
        <w:ind w:left="0" w:firstLine="0"/>
        <w:rPr>
          <w:i/>
        </w:rPr>
      </w:pPr>
      <w:r w:rsidRPr="00AA5F9D">
        <w:rPr>
          <w:i/>
        </w:rPr>
        <w:t>Solution U-series analyses</w:t>
      </w:r>
    </w:p>
    <w:p w14:paraId="709AB053" w14:textId="482C5BF7" w:rsidR="006E106D" w:rsidRPr="00AA5F9D" w:rsidRDefault="006E106D" w:rsidP="00F235D8">
      <w:pPr>
        <w:spacing w:afterLines="60" w:after="144" w:line="240" w:lineRule="auto"/>
      </w:pPr>
      <w:r w:rsidRPr="00AA5F9D">
        <w:t xml:space="preserve">Solution U-series analyses of powdered enamel and </w:t>
      </w:r>
      <w:proofErr w:type="gramStart"/>
      <w:r w:rsidRPr="00AA5F9D">
        <w:t>dentine  were</w:t>
      </w:r>
      <w:proofErr w:type="gramEnd"/>
      <w:r w:rsidRPr="00AA5F9D">
        <w:t xml:space="preserve"> carried out using a Nu Plasma HR MC-ICP-MS in the Radiogenic Isotope Facility (RIF) at the School of Earth and Environmental Sciences, the University of Queensland (Australia), following chemical treatment procedures and MC-ICP-MS analytical protocols described elsewhere (e.g. Zhao et </w:t>
      </w:r>
      <w:r w:rsidRPr="00AA5F9D">
        <w:lastRenderedPageBreak/>
        <w:t xml:space="preserve">al., </w:t>
      </w:r>
      <w:r w:rsidR="00BD25A8" w:rsidRPr="00AA5F9D">
        <w:t>200</w:t>
      </w:r>
      <w:r w:rsidR="00BD25A8">
        <w:t>9</w:t>
      </w:r>
      <w:r w:rsidRPr="00AA5F9D">
        <w:t xml:space="preserve">; Clark et al., 2014). Powdered sub-samples weighing 1–5 mg were spiked with a mixed </w:t>
      </w:r>
      <w:r w:rsidRPr="00AA5F9D">
        <w:rPr>
          <w:vertAlign w:val="superscript"/>
        </w:rPr>
        <w:t>229</w:t>
      </w:r>
      <w:r w:rsidRPr="00AA5F9D">
        <w:t>Th-</w:t>
      </w:r>
      <w:r w:rsidRPr="00AA5F9D">
        <w:rPr>
          <w:vertAlign w:val="superscript"/>
        </w:rPr>
        <w:t>233</w:t>
      </w:r>
      <w:r w:rsidRPr="00AA5F9D">
        <w:t>U tracer and then completely dissolved in concentrated HNO</w:t>
      </w:r>
      <w:r w:rsidRPr="00AA5F9D">
        <w:rPr>
          <w:vertAlign w:val="subscript"/>
        </w:rPr>
        <w:t>3</w:t>
      </w:r>
      <w:r w:rsidRPr="00AA5F9D">
        <w:t>. After digestion, each sample was treated with H</w:t>
      </w:r>
      <w:r w:rsidRPr="00AA5F9D">
        <w:rPr>
          <w:vertAlign w:val="subscript"/>
        </w:rPr>
        <w:t>2</w:t>
      </w:r>
      <w:r w:rsidRPr="00AA5F9D">
        <w:t>O</w:t>
      </w:r>
      <w:r w:rsidRPr="00AA5F9D">
        <w:rPr>
          <w:vertAlign w:val="subscript"/>
        </w:rPr>
        <w:t>2</w:t>
      </w:r>
      <w:r w:rsidRPr="00AA5F9D">
        <w:t xml:space="preserve"> to decompose trace amounts of organic matters and to facilitate complete sample-tracer homogenisation. U and Th were separated using conventional anion-exchange column chemistry using Bio-Rad AG 1-X8 resin. After stripping off the matrix from the column using double-distilled 7N HNO</w:t>
      </w:r>
      <w:r w:rsidRPr="00AA5F9D">
        <w:rPr>
          <w:vertAlign w:val="subscript"/>
        </w:rPr>
        <w:t>3</w:t>
      </w:r>
      <w:r w:rsidRPr="00AA5F9D">
        <w:t xml:space="preserve"> as eluent, 3 ml of a 2% HNO</w:t>
      </w:r>
      <w:r w:rsidRPr="00AA5F9D">
        <w:rPr>
          <w:vertAlign w:val="subscript"/>
        </w:rPr>
        <w:t>3</w:t>
      </w:r>
      <w:r w:rsidRPr="00AA5F9D">
        <w:t xml:space="preserve"> solution mixed with trace amount of HF was used to elute both U and Th into a 3.5-ml pre-cleaned test tube. After column chemistry, the U-Th mixed solution was injected into the MC-ICP-MS through a DSN-100 </w:t>
      </w:r>
      <w:proofErr w:type="spellStart"/>
      <w:r w:rsidRPr="00AA5F9D">
        <w:t>desolvation</w:t>
      </w:r>
      <w:proofErr w:type="spellEnd"/>
      <w:r w:rsidRPr="00AA5F9D">
        <w:t xml:space="preserve"> nebuliser system with an uptake rate of around 0.07 ml per minute. U-Th isotopic ratio measurement was performed on the MC-ICP-MS using a detector configuration to allow simultaneous measurements of both U and Th. Closed-system U-series ages were calculated using the </w:t>
      </w:r>
      <w:proofErr w:type="spellStart"/>
      <w:r w:rsidRPr="00AA5F9D">
        <w:t>Isoplot</w:t>
      </w:r>
      <w:proofErr w:type="spellEnd"/>
      <w:r w:rsidRPr="00AA5F9D">
        <w:t xml:space="preserve">/Ex 3.75 Program (Ludwig, 2003). </w:t>
      </w:r>
    </w:p>
    <w:p w14:paraId="796B5975" w14:textId="77777777" w:rsidR="006E106D" w:rsidRPr="00AA5F9D" w:rsidRDefault="006E106D" w:rsidP="00F235D8">
      <w:pPr>
        <w:pStyle w:val="ListParagraph"/>
        <w:numPr>
          <w:ilvl w:val="1"/>
          <w:numId w:val="1"/>
        </w:numPr>
        <w:spacing w:afterLines="60" w:after="144" w:line="240" w:lineRule="auto"/>
        <w:ind w:left="0" w:firstLine="0"/>
        <w:rPr>
          <w:i/>
        </w:rPr>
      </w:pPr>
      <w:r w:rsidRPr="00AA5F9D">
        <w:rPr>
          <w:i/>
        </w:rPr>
        <w:t xml:space="preserve"> Dose rate evaluation and age calculations</w:t>
      </w:r>
    </w:p>
    <w:p w14:paraId="2653E0B5" w14:textId="6EA560D6" w:rsidR="006E106D" w:rsidRPr="00AA5F9D" w:rsidRDefault="006E106D" w:rsidP="00F235D8">
      <w:pPr>
        <w:spacing w:afterLines="60" w:after="144" w:line="240" w:lineRule="auto"/>
      </w:pPr>
      <w:r w:rsidRPr="00AA5F9D">
        <w:t xml:space="preserve">Environmental dose rate was evaluated through a combination of laboratory and in situ measurements. </w:t>
      </w:r>
      <w:r w:rsidRPr="00AA5F9D">
        <w:rPr>
          <w:i/>
        </w:rPr>
        <w:t>In situ</w:t>
      </w:r>
      <w:r w:rsidRPr="00AA5F9D">
        <w:t xml:space="preserve"> gamma dose rate measurements were performed with a </w:t>
      </w:r>
      <w:proofErr w:type="spellStart"/>
      <w:r w:rsidRPr="00AA5F9D">
        <w:t>NaI</w:t>
      </w:r>
      <w:proofErr w:type="spellEnd"/>
      <w:r w:rsidRPr="00AA5F9D">
        <w:t xml:space="preserve"> (Tl) probe connected to a Canberra Inspector-1000 multichannel analyser, and processed following Arnold et al. (2012). Inductively Coupled Plasma Mass Spectrometry </w:t>
      </w:r>
      <w:r w:rsidR="00BD1DFD">
        <w:t>(</w:t>
      </w:r>
      <w:r w:rsidR="00BD1DFD" w:rsidRPr="00AA5F9D">
        <w:t>ICP-MS</w:t>
      </w:r>
      <w:r w:rsidR="00BD1DFD">
        <w:t>)</w:t>
      </w:r>
      <w:r w:rsidR="00BD1DFD" w:rsidRPr="00AA5F9D">
        <w:t xml:space="preserve"> </w:t>
      </w:r>
      <w:r w:rsidRPr="00AA5F9D">
        <w:t xml:space="preserve">analyses of raw sediment associated to the fossils specimens were performed by </w:t>
      </w:r>
      <w:proofErr w:type="spellStart"/>
      <w:r w:rsidRPr="00AA5F9D">
        <w:t>Genalysis</w:t>
      </w:r>
      <w:proofErr w:type="spellEnd"/>
      <w:r w:rsidRPr="00AA5F9D">
        <w:t xml:space="preserve"> Laboratory Services: U and Th and K concentrations were obtained after a four-acid digest preparation procedure. The following parameters were used for the dose rate calculations: an alpha efficiency of 0.13 ± 0.02 (Grün and Katzenberger-Apel, 1994), Monte-Carlo beta attenuation factors from Marsh (1999), dose-rate conversion factors from Guérin et al (2011), an estimated water content of 5 ± 3 and 27 ± 5 wt.% in dentine and sediment, respectively. The cosmic dose rate evaluation is extensively detailed below in a dedicated subsection (1.5). </w:t>
      </w:r>
    </w:p>
    <w:p w14:paraId="7AE03553" w14:textId="77777777" w:rsidR="006E106D" w:rsidRPr="00AA5F9D" w:rsidRDefault="006E106D" w:rsidP="00F235D8">
      <w:pPr>
        <w:spacing w:afterLines="60" w:after="144" w:line="240" w:lineRule="auto"/>
      </w:pPr>
      <w:r w:rsidRPr="00AA5F9D">
        <w:t>Finally, age calculations were performed with DATA program (Grün, 2009) using the US and model defined by Grün et al (1988), providing a US-ESR age result.</w:t>
      </w:r>
    </w:p>
    <w:p w14:paraId="066AAC7D" w14:textId="77777777" w:rsidR="006E106D" w:rsidRPr="00AA5F9D" w:rsidRDefault="006E106D" w:rsidP="00F235D8">
      <w:pPr>
        <w:pStyle w:val="ListParagraph"/>
        <w:numPr>
          <w:ilvl w:val="1"/>
          <w:numId w:val="1"/>
        </w:numPr>
        <w:adjustRightInd w:val="0"/>
        <w:snapToGrid w:val="0"/>
        <w:spacing w:afterLines="60" w:after="144" w:line="240" w:lineRule="auto"/>
        <w:ind w:left="0" w:firstLine="0"/>
        <w:rPr>
          <w:rFonts w:eastAsia="Times Roman"/>
          <w:i/>
        </w:rPr>
      </w:pPr>
      <w:r w:rsidRPr="00AA5F9D">
        <w:rPr>
          <w:rFonts w:eastAsia="Times Roman"/>
          <w:i/>
        </w:rPr>
        <w:t xml:space="preserve"> Cosmic dose rate evaluation</w:t>
      </w:r>
    </w:p>
    <w:p w14:paraId="4567EA23" w14:textId="77777777" w:rsidR="006E106D" w:rsidRPr="00AA5F9D" w:rsidRDefault="006E106D" w:rsidP="00F235D8">
      <w:pPr>
        <w:adjustRightInd w:val="0"/>
        <w:snapToGrid w:val="0"/>
        <w:spacing w:afterLines="60" w:after="144" w:line="240" w:lineRule="auto"/>
        <w:rPr>
          <w:rFonts w:eastAsia="Times Roman"/>
        </w:rPr>
      </w:pPr>
      <w:r w:rsidRPr="00AA5F9D">
        <w:rPr>
          <w:rFonts w:eastAsia="Times Roman"/>
        </w:rPr>
        <w:t xml:space="preserve">The cosmic dose rate was estimated following the same approach as in McInerney et al. (2022) which takes into consideration the </w:t>
      </w:r>
      <w:r w:rsidRPr="00AA5F9D">
        <w:rPr>
          <w:rFonts w:eastAsia="Times Roman"/>
          <w:lang w:val="en-GB"/>
        </w:rPr>
        <w:t xml:space="preserve">site altitude, geomagnetic latitude, and geometry of sediment above the sample, as well as an estimate of the long term mean lake level (overlying water column depth). The </w:t>
      </w:r>
      <w:r w:rsidRPr="00AA5F9D">
        <w:rPr>
          <w:rFonts w:eastAsia="Times Roman"/>
        </w:rPr>
        <w:t xml:space="preserve">long-term sediment overburden has been estimated via stratigraphic correlations of the prominent selenite layer found immediately overlying the fossil at the 1893 excavation site (Wells &amp; Tedford, 1995) with that found within a nearby sedimentary reference section that preserves a more comprehensive record of the Late Pleistocene to Holocene lacustrine infilling history for the basin. Using this reference section, we estimate that specimen VII was progressively overlain by up to 3.4 m of sediment overburden during the latter stages of its burial period. A time-averaged sediment overburden thicknesses of 1.7 m has therefore been adopted for calculating the cosmic dose rate of U-series/ESR sample #582, assuming relatively steady deposition of lacustrine sediments over time. Reasonable constraints on the depths of past lake filling episodes are available from the Callabonna-Frome shoreline elevation and time series data presented in Cohen et al. (2015). For the -3 m AHD (Australian Height Datum) lake floor sampling localities at Site 3, past hydrological conditions are known to have ranged from complete (or near complete) absence of a perennial water body, as observed today, to significant lake-full events with water depths up to 24 m, as evidenced by a +21 m AHD shoreline preserved along the southwestern margin of Lake Callabonna. The mid-point lake water depths between these two end-member </w:t>
      </w:r>
      <w:r w:rsidRPr="00AA5F9D">
        <w:rPr>
          <w:rFonts w:eastAsia="Times Roman"/>
        </w:rPr>
        <w:lastRenderedPageBreak/>
        <w:t>possibilities (12 m) has therefore been used to derive the time-averaged lake water depth for cosmic attenuation adjustment.</w:t>
      </w:r>
      <w:r w:rsidRPr="00AA5F9D">
        <w:rPr>
          <w:rFonts w:eastAsia="Calibri"/>
        </w:rPr>
        <w:t xml:space="preserve"> </w:t>
      </w:r>
      <w:r w:rsidRPr="00AA5F9D">
        <w:rPr>
          <w:rFonts w:eastAsia="Times Roman"/>
        </w:rPr>
        <w:t xml:space="preserve">To capture the full range of known past lake filling scenarios in our cosmic-ray dose rate calculation, we have assigned a 2σ long-term water depth uncertainty that spans both the minimum and maximum end-member limits (i.e., lake depths of 0 to +24 m). </w:t>
      </w:r>
    </w:p>
    <w:p w14:paraId="3E8E196E" w14:textId="77777777" w:rsidR="006E106D" w:rsidRPr="00AA5F9D" w:rsidRDefault="006E106D" w:rsidP="00F235D8">
      <w:pPr>
        <w:pStyle w:val="ListParagraph"/>
        <w:numPr>
          <w:ilvl w:val="0"/>
          <w:numId w:val="1"/>
        </w:numPr>
        <w:spacing w:afterLines="60" w:after="144" w:line="240" w:lineRule="auto"/>
        <w:ind w:left="0" w:firstLine="0"/>
        <w:rPr>
          <w:b/>
          <w:lang w:val="en-US"/>
        </w:rPr>
      </w:pPr>
      <w:r w:rsidRPr="00AA5F9D">
        <w:rPr>
          <w:b/>
          <w:lang w:val="en-US"/>
        </w:rPr>
        <w:t xml:space="preserve">Results </w:t>
      </w:r>
    </w:p>
    <w:p w14:paraId="6C726D32" w14:textId="77777777" w:rsidR="006E106D" w:rsidRPr="00AA5F9D" w:rsidRDefault="006E106D" w:rsidP="00F235D8">
      <w:pPr>
        <w:numPr>
          <w:ilvl w:val="1"/>
          <w:numId w:val="1"/>
        </w:numPr>
        <w:spacing w:afterLines="60" w:after="144" w:line="240" w:lineRule="auto"/>
        <w:ind w:left="0" w:firstLine="0"/>
        <w:rPr>
          <w:i/>
          <w:lang w:val="en-US"/>
        </w:rPr>
      </w:pPr>
      <w:r w:rsidRPr="00AA5F9D">
        <w:rPr>
          <w:i/>
          <w:lang w:val="en-US"/>
        </w:rPr>
        <w:t xml:space="preserve"> ESR dose evaluation</w:t>
      </w:r>
    </w:p>
    <w:p w14:paraId="7CD40801" w14:textId="77777777" w:rsidR="006E106D" w:rsidRPr="00AA5F9D" w:rsidRDefault="006E106D" w:rsidP="00F235D8">
      <w:pPr>
        <w:spacing w:afterLines="60" w:after="144" w:line="240" w:lineRule="auto"/>
      </w:pPr>
      <w:r w:rsidRPr="00AA5F9D">
        <w:t xml:space="preserve">ESR measurements of enamel sample #582 were performed with aliquots of about 19.6 mg on average (Table S1). </w:t>
      </w:r>
      <w:r w:rsidRPr="00AA5F9D">
        <w:rPr>
          <w:lang w:eastAsia="en-AU"/>
        </w:rPr>
        <w:t xml:space="preserve">The ESR dose response curve is displayed in Fig. S1. </w:t>
      </w:r>
      <w:r w:rsidRPr="00AA5F9D">
        <w:t>The mean ESR intensities show limited variability over repeated measurements (0.6%), resulting in D</w:t>
      </w:r>
      <w:r w:rsidRPr="00AA5F9D">
        <w:rPr>
          <w:vertAlign w:val="subscript"/>
        </w:rPr>
        <w:t>E</w:t>
      </w:r>
      <w:r w:rsidRPr="00AA5F9D">
        <w:t xml:space="preserve"> values varying within a narrow range (2.0%).</w:t>
      </w:r>
    </w:p>
    <w:p w14:paraId="6D43FD54" w14:textId="43BAC737" w:rsidR="006E106D" w:rsidRPr="00AA5F9D" w:rsidRDefault="006E106D" w:rsidP="00F235D8">
      <w:pPr>
        <w:spacing w:afterLines="60" w:after="144" w:line="240" w:lineRule="auto"/>
        <w:rPr>
          <w:lang w:eastAsia="en-AU"/>
        </w:rPr>
      </w:pPr>
      <w:r w:rsidRPr="00AA5F9D">
        <w:t>Single saturating exponential (SSE) dose response curve fitting was initially carried out using mean raw (non-corrected) ESR intensities and over the full dose range (</w:t>
      </w:r>
      <w:proofErr w:type="spellStart"/>
      <w:r w:rsidRPr="00AA5F9D">
        <w:t>D</w:t>
      </w:r>
      <w:r w:rsidRPr="00B62085">
        <w:rPr>
          <w:vertAlign w:val="subscript"/>
        </w:rPr>
        <w:t>max</w:t>
      </w:r>
      <w:proofErr w:type="spellEnd"/>
      <w:r w:rsidRPr="00AA5F9D">
        <w:t xml:space="preserve"> = 1464 Gy), yielding a D</w:t>
      </w:r>
      <w:r w:rsidRPr="00AA5F9D">
        <w:rPr>
          <w:vertAlign w:val="subscript"/>
        </w:rPr>
        <w:t>E1</w:t>
      </w:r>
      <w:r w:rsidRPr="00AA5F9D">
        <w:t xml:space="preserve"> value of 65.2 ± 1.2</w:t>
      </w:r>
      <w:r w:rsidR="002671CE">
        <w:t xml:space="preserve"> Gy</w:t>
      </w:r>
      <w:r w:rsidRPr="00AA5F9D">
        <w:t xml:space="preserve">. Since the </w:t>
      </w:r>
      <w:proofErr w:type="spellStart"/>
      <w:r w:rsidRPr="00AA5F9D">
        <w:t>D</w:t>
      </w:r>
      <w:r w:rsidRPr="00AA5F9D">
        <w:rPr>
          <w:vertAlign w:val="subscript"/>
        </w:rPr>
        <w:t>max</w:t>
      </w:r>
      <w:proofErr w:type="spellEnd"/>
      <w:r w:rsidRPr="00AA5F9D">
        <w:t>/D</w:t>
      </w:r>
      <w:r w:rsidRPr="00AA5F9D">
        <w:rPr>
          <w:vertAlign w:val="subscript"/>
        </w:rPr>
        <w:t>E</w:t>
      </w:r>
      <w:r w:rsidRPr="00AA5F9D">
        <w:t xml:space="preserve"> ratio (~22.5) exceeds the range of 5-10 recommended by Duval and Grün (2016), a second SSE fitting was carried </w:t>
      </w:r>
      <w:r w:rsidR="002671CE">
        <w:t xml:space="preserve">out </w:t>
      </w:r>
      <w:r w:rsidRPr="00AA5F9D">
        <w:t xml:space="preserve">after adjusting the </w:t>
      </w:r>
      <w:proofErr w:type="spellStart"/>
      <w:r w:rsidRPr="00AA5F9D">
        <w:t>D</w:t>
      </w:r>
      <w:r w:rsidRPr="00AA5F9D">
        <w:rPr>
          <w:vertAlign w:val="subscript"/>
        </w:rPr>
        <w:t>max</w:t>
      </w:r>
      <w:proofErr w:type="spellEnd"/>
      <w:r w:rsidRPr="00AA5F9D">
        <w:t xml:space="preserve"> to 488 Gy, providing a similar (1% higher) </w:t>
      </w:r>
      <w:r w:rsidR="002671CE">
        <w:t xml:space="preserve">dose </w:t>
      </w:r>
      <w:r w:rsidRPr="00AA5F9D">
        <w:t xml:space="preserve">value </w:t>
      </w:r>
      <w:r w:rsidR="002671CE">
        <w:t>(</w:t>
      </w:r>
      <w:r w:rsidR="002671CE" w:rsidRPr="00AA5F9D">
        <w:t>D</w:t>
      </w:r>
      <w:r w:rsidR="002671CE" w:rsidRPr="00AA5F9D">
        <w:rPr>
          <w:vertAlign w:val="subscript"/>
        </w:rPr>
        <w:t>E2</w:t>
      </w:r>
      <w:r w:rsidR="002671CE">
        <w:t xml:space="preserve">) </w:t>
      </w:r>
      <w:r w:rsidRPr="00AA5F9D">
        <w:t xml:space="preserve">of 65.6 </w:t>
      </w:r>
      <w:r w:rsidRPr="00AA5F9D">
        <w:rPr>
          <w:lang w:eastAsia="en-AU"/>
        </w:rPr>
        <w:t xml:space="preserve">± 2.1 Gy </w:t>
      </w:r>
      <w:r w:rsidRPr="00AA5F9D">
        <w:t>(</w:t>
      </w:r>
      <w:proofErr w:type="spellStart"/>
      <w:r w:rsidRPr="00AA5F9D">
        <w:t>D</w:t>
      </w:r>
      <w:r w:rsidRPr="00AA5F9D">
        <w:rPr>
          <w:vertAlign w:val="subscript"/>
        </w:rPr>
        <w:t>max</w:t>
      </w:r>
      <w:proofErr w:type="spellEnd"/>
      <w:r w:rsidRPr="00AA5F9D">
        <w:t>/D</w:t>
      </w:r>
      <w:r w:rsidRPr="00AA5F9D">
        <w:rPr>
          <w:vertAlign w:val="subscript"/>
        </w:rPr>
        <w:t>E2</w:t>
      </w:r>
      <w:r w:rsidRPr="00AA5F9D">
        <w:t xml:space="preserve"> = 7.4)</w:t>
      </w:r>
      <w:r w:rsidRPr="00AA5F9D">
        <w:rPr>
          <w:lang w:eastAsia="en-AU"/>
        </w:rPr>
        <w:t xml:space="preserve">. Given the relatively small size of the aliquots (&lt;20 mg) and the young age of the samples, the ESR </w:t>
      </w:r>
      <w:r w:rsidR="002671CE" w:rsidRPr="00AA5F9D">
        <w:rPr>
          <w:lang w:eastAsia="en-AU"/>
        </w:rPr>
        <w:t>spectr</w:t>
      </w:r>
      <w:r w:rsidR="002671CE">
        <w:rPr>
          <w:lang w:eastAsia="en-AU"/>
        </w:rPr>
        <w:t>um</w:t>
      </w:r>
      <w:r w:rsidR="002671CE" w:rsidRPr="00AA5F9D">
        <w:rPr>
          <w:lang w:eastAsia="en-AU"/>
        </w:rPr>
        <w:t xml:space="preserve"> </w:t>
      </w:r>
      <w:r w:rsidRPr="00AA5F9D">
        <w:rPr>
          <w:lang w:eastAsia="en-AU"/>
        </w:rPr>
        <w:t>of the least irradiated aliquots show</w:t>
      </w:r>
      <w:r w:rsidR="002671CE">
        <w:rPr>
          <w:lang w:eastAsia="en-AU"/>
        </w:rPr>
        <w:t>s</w:t>
      </w:r>
      <w:r w:rsidRPr="00AA5F9D">
        <w:rPr>
          <w:lang w:eastAsia="en-AU"/>
        </w:rPr>
        <w:t xml:space="preserve"> </w:t>
      </w:r>
      <w:r w:rsidR="002671CE">
        <w:rPr>
          <w:lang w:eastAsia="en-AU"/>
        </w:rPr>
        <w:t xml:space="preserve">a </w:t>
      </w:r>
      <w:r w:rsidRPr="00AA5F9D">
        <w:rPr>
          <w:lang w:eastAsia="en-AU"/>
        </w:rPr>
        <w:t xml:space="preserve">non-horizontal baseline and </w:t>
      </w:r>
      <w:r w:rsidR="002671CE">
        <w:rPr>
          <w:lang w:eastAsia="en-AU"/>
        </w:rPr>
        <w:t xml:space="preserve">a </w:t>
      </w:r>
      <w:r w:rsidRPr="00AA5F9D">
        <w:rPr>
          <w:lang w:eastAsia="en-AU"/>
        </w:rPr>
        <w:t xml:space="preserve">noticeable high-frequency </w:t>
      </w:r>
      <w:r w:rsidR="002671CE">
        <w:rPr>
          <w:lang w:eastAsia="en-AU"/>
        </w:rPr>
        <w:t xml:space="preserve">background </w:t>
      </w:r>
      <w:r w:rsidRPr="00AA5F9D">
        <w:rPr>
          <w:lang w:eastAsia="en-AU"/>
        </w:rPr>
        <w:t xml:space="preserve">noise. These complications reflect the weak ESR intensities measured, despite the increased number of accumulated scans used (up to </w:t>
      </w:r>
      <w:r w:rsidR="00275FA8">
        <w:rPr>
          <w:lang w:eastAsia="en-AU"/>
        </w:rPr>
        <w:t>3</w:t>
      </w:r>
      <w:r w:rsidR="00275FA8" w:rsidRPr="00AA5F9D">
        <w:rPr>
          <w:lang w:eastAsia="en-AU"/>
        </w:rPr>
        <w:t>0</w:t>
      </w:r>
      <w:r w:rsidRPr="00AA5F9D">
        <w:rPr>
          <w:lang w:eastAsia="en-AU"/>
        </w:rPr>
        <w:t xml:space="preserve">). A minimum signal-to-noise ratio (S/N) of 18.3 was calculated (following Arnold et al., 2024) for the sample from for the natural aliquot. In order to evaluate whether these weak intensities impact the reliability of dose evaluation, several additional fittings were carried out. First, a cubic baseline correction was </w:t>
      </w:r>
      <w:r w:rsidRPr="00AA5F9D">
        <w:t xml:space="preserve">applied with Bruker </w:t>
      </w:r>
      <w:proofErr w:type="spellStart"/>
      <w:r w:rsidRPr="00AA5F9D">
        <w:t>WinEPR</w:t>
      </w:r>
      <w:proofErr w:type="spellEnd"/>
      <w:r w:rsidRPr="00AA5F9D">
        <w:t xml:space="preserve"> Processing software to all aliquots, resulting in slightly lower ESR intensities of up to 3% for the natural aliquot. SSE fitting carried out using the mean baseline-corrected ESR intensities returns a D</w:t>
      </w:r>
      <w:r w:rsidRPr="00AA5F9D">
        <w:rPr>
          <w:vertAlign w:val="subscript"/>
        </w:rPr>
        <w:t>E3</w:t>
      </w:r>
      <w:r w:rsidRPr="00AA5F9D">
        <w:t xml:space="preserve"> value of 61.8 </w:t>
      </w:r>
      <w:r w:rsidRPr="00AA5F9D">
        <w:rPr>
          <w:lang w:eastAsia="en-AU"/>
        </w:rPr>
        <w:t>± 2.1 Gy, i.e., slightly lower by about 3% compared to D</w:t>
      </w:r>
      <w:r w:rsidRPr="00AA5F9D">
        <w:rPr>
          <w:vertAlign w:val="subscript"/>
          <w:lang w:eastAsia="en-AU"/>
        </w:rPr>
        <w:t>E2</w:t>
      </w:r>
      <w:r w:rsidRPr="00AA5F9D">
        <w:rPr>
          <w:lang w:eastAsia="en-AU"/>
        </w:rPr>
        <w:t xml:space="preserve">. The high frequency noise was also subsequently subtracted from all ESR spectra following Arnold et al. (2024), lowering the ESR intensities by 1 to 5% depending on the aliquot considered. A fourth SSE fitting was therefore performed through the </w:t>
      </w:r>
      <w:r w:rsidRPr="00AA5F9D">
        <w:t>baseline-corrected and noise-corrected ESR intensities, yielding a D</w:t>
      </w:r>
      <w:r w:rsidRPr="00AA5F9D">
        <w:rPr>
          <w:vertAlign w:val="subscript"/>
        </w:rPr>
        <w:t>E4</w:t>
      </w:r>
      <w:r w:rsidRPr="00AA5F9D">
        <w:t xml:space="preserve"> value of 61.8 </w:t>
      </w:r>
      <w:r w:rsidRPr="00AA5F9D">
        <w:rPr>
          <w:lang w:eastAsia="en-AU"/>
        </w:rPr>
        <w:t>± 2.1 Gy, which is very close (-3%) to D</w:t>
      </w:r>
      <w:r w:rsidRPr="00AA5F9D">
        <w:rPr>
          <w:vertAlign w:val="subscript"/>
          <w:lang w:eastAsia="en-AU"/>
        </w:rPr>
        <w:t>E3</w:t>
      </w:r>
      <w:r w:rsidRPr="00AA5F9D">
        <w:rPr>
          <w:lang w:eastAsia="en-AU"/>
        </w:rPr>
        <w:t>. Finally, SSE fitting was carried out using the same conditions (i.e., using the baseline-corrected and noise-corrected ESR intensities), but with data weighted by 1/s</w:t>
      </w:r>
      <w:r w:rsidRPr="00AA5F9D">
        <w:rPr>
          <w:vertAlign w:val="superscript"/>
          <w:lang w:eastAsia="en-AU"/>
        </w:rPr>
        <w:t>2</w:t>
      </w:r>
      <w:r w:rsidRPr="00AA5F9D">
        <w:rPr>
          <w:lang w:eastAsia="en-AU"/>
        </w:rPr>
        <w:t>. This approach also returned a very similar (+1%) D</w:t>
      </w:r>
      <w:r w:rsidRPr="00AA5F9D">
        <w:rPr>
          <w:vertAlign w:val="subscript"/>
          <w:lang w:eastAsia="en-AU"/>
        </w:rPr>
        <w:t>E5</w:t>
      </w:r>
      <w:r w:rsidRPr="00AA5F9D">
        <w:rPr>
          <w:lang w:eastAsia="en-AU"/>
        </w:rPr>
        <w:t xml:space="preserve"> of </w:t>
      </w:r>
      <w:r w:rsidRPr="00AA5F9D">
        <w:t xml:space="preserve">62.7 </w:t>
      </w:r>
      <w:r w:rsidRPr="00AA5F9D">
        <w:rPr>
          <w:lang w:eastAsia="en-AU"/>
        </w:rPr>
        <w:t xml:space="preserve">± 2.7 Gy. To sum up, the various fitting sensitivity tests show that the dose estimates vary within a very narrow range (&lt; 4 Gy) regardless of </w:t>
      </w:r>
      <w:proofErr w:type="spellStart"/>
      <w:r w:rsidRPr="00AA5F9D">
        <w:rPr>
          <w:lang w:eastAsia="en-AU"/>
        </w:rPr>
        <w:t>D</w:t>
      </w:r>
      <w:r w:rsidRPr="00AA5F9D">
        <w:rPr>
          <w:vertAlign w:val="subscript"/>
          <w:lang w:eastAsia="en-AU"/>
        </w:rPr>
        <w:t>max</w:t>
      </w:r>
      <w:proofErr w:type="spellEnd"/>
      <w:r w:rsidRPr="00AA5F9D">
        <w:rPr>
          <w:lang w:eastAsia="en-AU"/>
        </w:rPr>
        <w:t xml:space="preserve">, baseline-correction or noise-correction considerations, with all results being in agreement at 1σ. </w:t>
      </w:r>
    </w:p>
    <w:p w14:paraId="645A802A" w14:textId="040CD9DC" w:rsidR="006E106D" w:rsidRPr="00AA5F9D" w:rsidRDefault="005118CF" w:rsidP="00F235D8">
      <w:pPr>
        <w:spacing w:afterLines="60" w:after="144" w:line="240" w:lineRule="auto"/>
        <w:rPr>
          <w:lang w:eastAsia="en-AU"/>
        </w:rPr>
      </w:pPr>
      <w:r w:rsidRPr="00AA5F9D">
        <w:rPr>
          <w:lang w:eastAsia="en-AU"/>
        </w:rPr>
        <w:t>S</w:t>
      </w:r>
      <w:r w:rsidR="00F235D8" w:rsidRPr="00AA5F9D">
        <w:rPr>
          <w:lang w:eastAsia="en-AU"/>
        </w:rPr>
        <w:t>ummar</w:t>
      </w:r>
      <w:r w:rsidRPr="00AA5F9D">
        <w:rPr>
          <w:lang w:eastAsia="en-AU"/>
        </w:rPr>
        <w:t>ising</w:t>
      </w:r>
      <w:r w:rsidR="006E106D" w:rsidRPr="00AA5F9D">
        <w:rPr>
          <w:lang w:eastAsia="en-AU"/>
        </w:rPr>
        <w:t xml:space="preserve">, </w:t>
      </w:r>
      <w:r w:rsidR="00F235D8" w:rsidRPr="00AA5F9D">
        <w:rPr>
          <w:lang w:eastAsia="en-AU"/>
        </w:rPr>
        <w:t>t</w:t>
      </w:r>
      <w:r w:rsidR="006E106D" w:rsidRPr="00AA5F9D">
        <w:rPr>
          <w:lang w:eastAsia="en-AU"/>
        </w:rPr>
        <w:t xml:space="preserve">he ESR data satisfy a series of quality-assurance criteria (e.g., high measurement repeatability; high goodness-of-fit achieved (adjusted r2 &gt;0.999); absence of significant fitting bias due to excessive </w:t>
      </w:r>
      <w:proofErr w:type="spellStart"/>
      <w:r w:rsidR="006E106D" w:rsidRPr="00AA5F9D">
        <w:rPr>
          <w:lang w:eastAsia="en-AU"/>
        </w:rPr>
        <w:t>D</w:t>
      </w:r>
      <w:r w:rsidR="006E106D" w:rsidRPr="00AA5F9D">
        <w:rPr>
          <w:vertAlign w:val="subscript"/>
          <w:lang w:eastAsia="en-AU"/>
        </w:rPr>
        <w:t>max</w:t>
      </w:r>
      <w:proofErr w:type="spellEnd"/>
      <w:r w:rsidR="006E106D" w:rsidRPr="00AA5F9D">
        <w:rPr>
          <w:lang w:eastAsia="en-AU"/>
        </w:rPr>
        <w:t xml:space="preserve"> or variable data weighting options), indicating their reliability and robustness. Age calculations were therefore carried out with the D</w:t>
      </w:r>
      <w:r w:rsidR="006E106D" w:rsidRPr="00AA5F9D">
        <w:rPr>
          <w:vertAlign w:val="subscript"/>
          <w:lang w:eastAsia="en-AU"/>
        </w:rPr>
        <w:t>E4</w:t>
      </w:r>
      <w:r w:rsidR="006E106D" w:rsidRPr="00AA5F9D">
        <w:rPr>
          <w:lang w:eastAsia="en-AU"/>
        </w:rPr>
        <w:t xml:space="preserve"> value following Duval and Grün (2016).</w:t>
      </w:r>
    </w:p>
    <w:p w14:paraId="7EF3C6D0" w14:textId="77777777" w:rsidR="006E106D" w:rsidRPr="00AA5F9D" w:rsidRDefault="006E106D" w:rsidP="00F235D8">
      <w:pPr>
        <w:numPr>
          <w:ilvl w:val="1"/>
          <w:numId w:val="1"/>
        </w:numPr>
        <w:spacing w:afterLines="60" w:after="144" w:line="240" w:lineRule="auto"/>
        <w:ind w:left="0" w:firstLine="0"/>
        <w:rPr>
          <w:i/>
          <w:lang w:val="en-US"/>
        </w:rPr>
      </w:pPr>
      <w:r w:rsidRPr="00AA5F9D">
        <w:rPr>
          <w:i/>
          <w:lang w:val="en-US"/>
        </w:rPr>
        <w:t>Solution U-series analyses</w:t>
      </w:r>
    </w:p>
    <w:p w14:paraId="691F078E" w14:textId="77777777" w:rsidR="006E106D" w:rsidRPr="00AA5F9D" w:rsidRDefault="006E106D" w:rsidP="00F235D8">
      <w:pPr>
        <w:spacing w:afterLines="60" w:after="144" w:line="240" w:lineRule="auto"/>
        <w:rPr>
          <w:lang w:val="en-US"/>
        </w:rPr>
      </w:pPr>
      <w:r w:rsidRPr="00AA5F9D">
        <w:rPr>
          <w:lang w:val="en-US"/>
        </w:rPr>
        <w:t xml:space="preserve">Solution U-series analyses return apparent U-series ages of 25.9 and 10.3 ka for the enamel and dentine, respectively (Table S2). These should be regarded as minimum age constraints for the fossil, since uranium uptake may be significantly delayed after the death of the </w:t>
      </w:r>
      <w:r w:rsidRPr="00AA5F9D">
        <w:rPr>
          <w:lang w:val="en-US"/>
        </w:rPr>
        <w:lastRenderedPageBreak/>
        <w:t xml:space="preserve">animal. Additionally, the absence of apparent uranium leaching and the low uranium concentration measured in the enamel (&lt;0.5 ppm) make the tooth suitable for the application of the combined U-series/ESR dating approach (Duval et al., 2012). </w:t>
      </w:r>
    </w:p>
    <w:p w14:paraId="6671C54D" w14:textId="77777777" w:rsidR="006E106D" w:rsidRPr="00AA5F9D" w:rsidRDefault="006E106D" w:rsidP="00F235D8">
      <w:pPr>
        <w:numPr>
          <w:ilvl w:val="1"/>
          <w:numId w:val="1"/>
        </w:numPr>
        <w:spacing w:afterLines="60" w:after="144" w:line="240" w:lineRule="auto"/>
        <w:ind w:left="0" w:firstLine="0"/>
        <w:rPr>
          <w:i/>
          <w:lang w:val="en-US"/>
        </w:rPr>
      </w:pPr>
      <w:r w:rsidRPr="00AA5F9D">
        <w:rPr>
          <w:i/>
          <w:lang w:val="en-US"/>
        </w:rPr>
        <w:t>Dose rate evaluation</w:t>
      </w:r>
    </w:p>
    <w:p w14:paraId="35AAF856" w14:textId="77777777" w:rsidR="006E106D" w:rsidRPr="00AA5F9D" w:rsidRDefault="006E106D" w:rsidP="00F235D8">
      <w:pPr>
        <w:spacing w:afterLines="60" w:after="144" w:line="240" w:lineRule="auto"/>
      </w:pPr>
      <w:r w:rsidRPr="00AA5F9D">
        <w:t xml:space="preserve">As detailed earlier, it was not possible to obtain directly associated in situ gamma dose rate measurements for #582, since the fossil specimen was collected in 1893 and the excavation area no longer exists. However, several sediment samples were collected directly from the paleontological collections, i.e., SED-1 to SED-7 associated with M1 and M2 teeth of specimen VII, and related bones from the same excavation (SED-3) (Table S3). Radioelement concentration values measured from these sediment samples show significant variability (U: 42.9%; Th: 100.6 %; K: 51.6%). In particular, the two samples from the dated tooth (SED-1 and SED-2) provide very high Th concentrations compared with the other samples, including those obtained using in situ gamma spectrometry for related deposits at Site 3 (Table S4). This variability may cast reasonable doubt on the appropriateness of using any other sediment samples than those directly associated with the dated tooth for the dose rate evaluation (i.e., SED-1 and SED-2, which are the only sediment samples that were directly attached to the tooth being dated). However, the very small amount of material analysed for these two samples (6-12 mg) may not only limit the reliability of the resultant radioelement values, but also raise questions about their representativeness of the original sedimentary environment surrounding the tooth. </w:t>
      </w:r>
    </w:p>
    <w:p w14:paraId="7B05BB27" w14:textId="0BE93163" w:rsidR="006E106D" w:rsidRPr="00AA5F9D" w:rsidRDefault="006E106D" w:rsidP="00F235D8">
      <w:pPr>
        <w:spacing w:afterLines="60" w:after="144" w:line="240" w:lineRule="auto"/>
        <w:rPr>
          <w:bCs/>
          <w:lang w:eastAsia="en-AU"/>
        </w:rPr>
      </w:pPr>
      <w:r w:rsidRPr="00AA5F9D">
        <w:t xml:space="preserve">Gamma dose rate calculations using either field or laboratory measurements (Tables S4 and S5) return values ranging values from </w:t>
      </w:r>
      <w:r w:rsidRPr="00AA5F9D">
        <w:rPr>
          <w:lang w:eastAsia="en-AU"/>
        </w:rPr>
        <w:t xml:space="preserve">497 ± 21 to 924 ± 43 </w:t>
      </w:r>
      <w:r w:rsidRPr="00AA5F9D">
        <w:rPr>
          <w:bCs/>
          <w:lang w:eastAsia="en-AU"/>
        </w:rPr>
        <w:t>µGy/a (Table S5)</w:t>
      </w:r>
      <w:r w:rsidRPr="00AA5F9D">
        <w:t xml:space="preserve">. These extreme end-member values were obtained from the sediment attached to the fossils, by considering either all samples together to derive a minimum value (SED-1 to SED-7) or only the two samples directly collected from the dated tooth (SED-1 and SED-2). In comparison, the in situ dosimetry measurements made on similar fossil-bearing lacustrine sediments elsewhere at Site 3 yield intermediate gamma dose rate values of </w:t>
      </w:r>
      <w:r w:rsidRPr="00AA5F9D">
        <w:rPr>
          <w:lang w:eastAsia="en-AU"/>
        </w:rPr>
        <w:t>618 ± 34 to 734 ± 38</w:t>
      </w:r>
      <w:r w:rsidRPr="00AA5F9D">
        <w:rPr>
          <w:bCs/>
          <w:lang w:eastAsia="en-AU"/>
        </w:rPr>
        <w:t xml:space="preserve"> µGy/a</w:t>
      </w:r>
      <w:r w:rsidR="002671CE">
        <w:rPr>
          <w:bCs/>
          <w:lang w:eastAsia="en-AU"/>
        </w:rPr>
        <w:t xml:space="preserve"> </w:t>
      </w:r>
      <w:r w:rsidR="002671CE" w:rsidRPr="00AA5F9D">
        <w:rPr>
          <w:bCs/>
          <w:lang w:eastAsia="en-AU"/>
        </w:rPr>
        <w:t>(Table S5)</w:t>
      </w:r>
      <w:r w:rsidRPr="00AA5F9D">
        <w:rPr>
          <w:bCs/>
          <w:lang w:eastAsia="en-AU"/>
        </w:rPr>
        <w:t xml:space="preserve">, depending on the subset of measurements considered. </w:t>
      </w:r>
    </w:p>
    <w:p w14:paraId="25E9C50D" w14:textId="77777777" w:rsidR="006E106D" w:rsidRPr="00AA5F9D" w:rsidRDefault="006E106D" w:rsidP="00F235D8">
      <w:pPr>
        <w:numPr>
          <w:ilvl w:val="1"/>
          <w:numId w:val="1"/>
        </w:numPr>
        <w:spacing w:afterLines="60" w:after="144" w:line="240" w:lineRule="auto"/>
        <w:ind w:left="0" w:firstLine="0"/>
        <w:rPr>
          <w:i/>
          <w:lang w:val="en-US"/>
        </w:rPr>
      </w:pPr>
      <w:r w:rsidRPr="00AA5F9D">
        <w:rPr>
          <w:i/>
          <w:lang w:val="en-US"/>
        </w:rPr>
        <w:t>Combined U-series and ESR age calculations</w:t>
      </w:r>
    </w:p>
    <w:p w14:paraId="14393D32" w14:textId="11DC35A4" w:rsidR="006E106D" w:rsidRPr="00AA5F9D" w:rsidRDefault="006E106D" w:rsidP="00F235D8">
      <w:pPr>
        <w:spacing w:afterLines="60" w:after="144" w:line="240" w:lineRule="auto"/>
        <w:rPr>
          <w:lang w:val="en-US"/>
        </w:rPr>
      </w:pPr>
      <w:r w:rsidRPr="00AA5F9D">
        <w:rPr>
          <w:lang w:val="en-US"/>
        </w:rPr>
        <w:t xml:space="preserve">An initial combined U-series/ESR age calculation performed with the beta dose rate from the sediment attached to the tooth (SED1-2) and the gamma dose rate from the in situ measurements of LC14-18 returns a US-ESR age of 72 ± 4 ka (Scenario A in Table 3). The total dose rate is largely dominated by the </w:t>
      </w:r>
      <w:proofErr w:type="spellStart"/>
      <w:r w:rsidRPr="00AA5F9D">
        <w:rPr>
          <w:lang w:val="en-US"/>
        </w:rPr>
        <w:t>gamma+cosmic</w:t>
      </w:r>
      <w:proofErr w:type="spellEnd"/>
      <w:r w:rsidRPr="00AA5F9D">
        <w:rPr>
          <w:lang w:val="en-US"/>
        </w:rPr>
        <w:t xml:space="preserve"> component (87%), while the dental tissues represent &lt;5% of the combined dose rate. In other words, the sedimentary environment (beta and gamma components) accounts for ~90 % of the total dose rate, and thus the reliability of the final age will be significantly dependent on the representativeness of the sediment dose rate evaluations. Consequently, the apparent US-ESR </w:t>
      </w:r>
      <w:r w:rsidR="002671CE">
        <w:rPr>
          <w:lang w:val="en-US"/>
        </w:rPr>
        <w:t xml:space="preserve">age estimate </w:t>
      </w:r>
      <w:r w:rsidRPr="00AA5F9D">
        <w:rPr>
          <w:lang w:val="en-US"/>
        </w:rPr>
        <w:t xml:space="preserve">should be treated with extreme caution given the significant uncertainty associated with the exact stratigraphic position of the teeth collected in 1893 and the impossibility of obtaining a directly associated in situ gamma dose rate for the dated tooth. </w:t>
      </w:r>
      <w:r w:rsidR="00567DD4">
        <w:rPr>
          <w:lang w:val="en-US"/>
        </w:rPr>
        <w:t xml:space="preserve">Importantly, the use of the CSUS model (Grün, 2000b) </w:t>
      </w:r>
      <w:r w:rsidR="00AE098F">
        <w:rPr>
          <w:lang w:val="en-US"/>
        </w:rPr>
        <w:t>has virtually no impact on the calculated ages, which differ by &lt; 1 ka compared to the initial US-ESR estimates obtained for both scenarios A and B, indicating that the uncertainty on the dose rate modelling is negligible here.</w:t>
      </w:r>
      <w:r w:rsidR="00567DD4">
        <w:rPr>
          <w:lang w:val="en-US"/>
        </w:rPr>
        <w:t xml:space="preserve"> </w:t>
      </w:r>
    </w:p>
    <w:p w14:paraId="72ED66DA" w14:textId="6F796D9B" w:rsidR="006E106D" w:rsidRPr="00AA5F9D" w:rsidRDefault="006E106D" w:rsidP="00F235D8">
      <w:pPr>
        <w:spacing w:afterLines="60" w:after="144" w:line="240" w:lineRule="auto"/>
        <w:rPr>
          <w:lang w:val="en-US"/>
        </w:rPr>
      </w:pPr>
      <w:r w:rsidRPr="00AA5F9D">
        <w:rPr>
          <w:lang w:val="en-US"/>
        </w:rPr>
        <w:t xml:space="preserve">The two sediment samples collected directly from the tooth show much higher </w:t>
      </w:r>
      <w:r w:rsidR="002671CE">
        <w:rPr>
          <w:lang w:val="en-US"/>
        </w:rPr>
        <w:t xml:space="preserve">natural </w:t>
      </w:r>
      <w:r w:rsidR="002671CE" w:rsidRPr="00AA5F9D">
        <w:rPr>
          <w:lang w:val="en-US"/>
        </w:rPr>
        <w:t>radioactivit</w:t>
      </w:r>
      <w:r w:rsidR="002671CE">
        <w:rPr>
          <w:lang w:val="en-US"/>
        </w:rPr>
        <w:t>y</w:t>
      </w:r>
      <w:r w:rsidR="002671CE" w:rsidRPr="00AA5F9D">
        <w:rPr>
          <w:lang w:val="en-US"/>
        </w:rPr>
        <w:t xml:space="preserve"> </w:t>
      </w:r>
      <w:r w:rsidRPr="00AA5F9D">
        <w:rPr>
          <w:lang w:val="en-US"/>
        </w:rPr>
        <w:t xml:space="preserve">when compared to the </w:t>
      </w:r>
      <w:proofErr w:type="gramStart"/>
      <w:r w:rsidRPr="00AA5F9D">
        <w:rPr>
          <w:lang w:val="en-US"/>
        </w:rPr>
        <w:t>in situ</w:t>
      </w:r>
      <w:proofErr w:type="gramEnd"/>
      <w:r w:rsidRPr="00AA5F9D">
        <w:rPr>
          <w:lang w:val="en-US"/>
        </w:rPr>
        <w:t xml:space="preserve"> measurements performed elsewhere at Site 3, and it cannot be excluded that the latter may not be fully representative of the true gamma dose rate experienced by the dated tooth sample at the 1893 site. Consequently, an alternative </w:t>
      </w:r>
      <w:r w:rsidRPr="00AA5F9D">
        <w:rPr>
          <w:lang w:val="en-US"/>
        </w:rPr>
        <w:lastRenderedPageBreak/>
        <w:t>combined U-series/ESR calculation was performed using sediment samples SED-1 and SED-2 for both the beta and gamma dose rate evaluation, which yielded an age of 55 +5 /-4 ka (Scenario B in Table 3). This more conservative option potentially provides a more accurate age estimate since it is based on the sediment directly attached to the M2 tooth. Age sensitivity tests performed with long-term water contents varying by ± 2-3% or ± 7-8% compared with the initial value of 27 % only modify the US-ESR estimate of 55 ka by ± 4% (i.e., ± 2 ka) and ± 9-13% (i.e., ± 5-7 ka), respectively. In other words, the final age remain within error, illustrating the limited impact of our long-term water content assumptions on the dating results.</w:t>
      </w:r>
    </w:p>
    <w:p w14:paraId="188FA22C" w14:textId="38B2E4E1" w:rsidR="006E106D" w:rsidRPr="00AA5F9D" w:rsidRDefault="006E106D" w:rsidP="00F235D8">
      <w:pPr>
        <w:spacing w:afterLines="60" w:after="144" w:line="240" w:lineRule="auto"/>
        <w:rPr>
          <w:lang w:val="en-US"/>
        </w:rPr>
      </w:pPr>
      <w:r w:rsidRPr="00AA5F9D">
        <w:rPr>
          <w:lang w:val="en-US"/>
        </w:rPr>
        <w:t xml:space="preserve">Despite the robustness of the ESR data collected for sample #582, we cannot exclude the possibility that non-negligible high-frequency background noise in the least-irradiated aliquots (S/N = 18.3 for the natural aliquot; see an example in Fig. S2A) may bias the evaluation of the ESR intensity, and thus the dose determination. Consequently, alternative correction procedures were employed to reduce this noise and evaluate the extent to which the resulting US-ESR age might be impacted. In particular, fast Fourier transforms (FFTs) were used via </w:t>
      </w:r>
      <w:proofErr w:type="spellStart"/>
      <w:r w:rsidRPr="00AA5F9D">
        <w:rPr>
          <w:lang w:val="en-US"/>
        </w:rPr>
        <w:t>WinEPR</w:t>
      </w:r>
      <w:proofErr w:type="spellEnd"/>
      <w:r w:rsidRPr="00AA5F9D">
        <w:rPr>
          <w:lang w:val="en-US"/>
        </w:rPr>
        <w:t xml:space="preserve"> to represent the ESR spectra in frequency domains (Fig. S2B). Interestingly, main signal frequencies (&lt;0.4 1/G) show little variability across aliquots, confirming that the same radiation-induced ESR signal has been recorded in all aliquots, regardless of the proportion of noise observed. Two types of window functions (Gaussian and Hamming) were tested with more or less conservative parameters in order to correct the spectra and remove the noise without impacting signal intensity (see example Fig. S2B). The resulting D</w:t>
      </w:r>
      <w:r w:rsidRPr="00AA5F9D">
        <w:rPr>
          <w:vertAlign w:val="subscript"/>
          <w:lang w:val="en-US"/>
        </w:rPr>
        <w:t>E</w:t>
      </w:r>
      <w:r w:rsidRPr="00AA5F9D">
        <w:rPr>
          <w:lang w:val="en-US"/>
        </w:rPr>
        <w:t xml:space="preserve"> values vary by about &lt; 2.5 Gy and range from 59.5 to 62.0 Gy (Fig. 2C). These values are &lt; 3% lower than the D</w:t>
      </w:r>
      <w:r w:rsidRPr="00AA5F9D">
        <w:rPr>
          <w:vertAlign w:val="subscript"/>
          <w:lang w:val="en-US"/>
        </w:rPr>
        <w:t>E4</w:t>
      </w:r>
      <w:r w:rsidRPr="00AA5F9D">
        <w:rPr>
          <w:lang w:val="en-US"/>
        </w:rPr>
        <w:t xml:space="preserve"> values used for age calculation (Table </w:t>
      </w:r>
      <w:r w:rsidR="002671CE">
        <w:rPr>
          <w:lang w:val="en-US"/>
        </w:rPr>
        <w:t>S</w:t>
      </w:r>
      <w:r w:rsidRPr="00AA5F9D">
        <w:rPr>
          <w:lang w:val="en-US"/>
        </w:rPr>
        <w:t>1) and are systematically within error of the value initially calculated after subtracting the background noise (following the procedure described in Arnold et al., 2024). These alternative D</w:t>
      </w:r>
      <w:r w:rsidRPr="00AA5F9D">
        <w:rPr>
          <w:vertAlign w:val="subscript"/>
          <w:lang w:val="en-US"/>
        </w:rPr>
        <w:t>E</w:t>
      </w:r>
      <w:r w:rsidRPr="00AA5F9D">
        <w:rPr>
          <w:lang w:val="en-US"/>
        </w:rPr>
        <w:t xml:space="preserve"> estimates would result in a slightly younger age of up to 53 +4 -3 ka. Consequently, these results show that all noise correction and subtraction procedures return very similar results, confirming that the high frequency background noise has </w:t>
      </w:r>
      <w:r w:rsidR="002671CE">
        <w:rPr>
          <w:lang w:val="en-US"/>
        </w:rPr>
        <w:t xml:space="preserve">only a </w:t>
      </w:r>
      <w:r w:rsidRPr="00AA5F9D">
        <w:rPr>
          <w:lang w:val="en-US"/>
        </w:rPr>
        <w:t xml:space="preserve">very limited impact on the resulting age estimates. </w:t>
      </w:r>
    </w:p>
    <w:p w14:paraId="594D37E4" w14:textId="20E26E48" w:rsidR="006E106D" w:rsidRPr="00AA5F9D" w:rsidRDefault="00F235D8" w:rsidP="00F235D8">
      <w:pPr>
        <w:pStyle w:val="ListParagraph"/>
        <w:numPr>
          <w:ilvl w:val="0"/>
          <w:numId w:val="1"/>
        </w:numPr>
        <w:spacing w:afterLines="60" w:after="144" w:line="240" w:lineRule="auto"/>
        <w:ind w:left="0" w:firstLine="0"/>
        <w:rPr>
          <w:b/>
          <w:lang w:val="en-US"/>
        </w:rPr>
      </w:pPr>
      <w:r w:rsidRPr="00AA5F9D">
        <w:rPr>
          <w:b/>
          <w:lang w:val="en-US"/>
        </w:rPr>
        <w:t>Summary</w:t>
      </w:r>
    </w:p>
    <w:p w14:paraId="33D055EC" w14:textId="5661BE29" w:rsidR="006E106D" w:rsidRPr="00AA5F9D" w:rsidRDefault="006E106D" w:rsidP="00F235D8">
      <w:pPr>
        <w:spacing w:afterLines="60" w:after="144" w:line="240" w:lineRule="auto"/>
        <w:rPr>
          <w:lang w:val="en-US"/>
        </w:rPr>
      </w:pPr>
      <w:r w:rsidRPr="00AA5F9D">
        <w:rPr>
          <w:lang w:val="en-US"/>
        </w:rPr>
        <w:t xml:space="preserve">Given that the surrounding sediment environment of the fossil tooth dominates its total dose rate (~90 %), the inability to perform directly associated gamma dose rate evaluations poses a significant problem for deriving a reliable age for sample #582. This is further complicated by significant variability in the radioelement concentrations of bulk sediment samples associated with the fossil material from the 1893 excavation collections. Other potential sources of uncertainty, such as assumptions about the long-term water content of the sediment or evaluations of background noise affecting the ESR spectra, appear to have much more limited impacts on the final US-ESR ages. Notwithstanding major caveats in the environmental dose rate calculation, we consider the US-ESR age of 55 +5 </w:t>
      </w:r>
      <w:r w:rsidR="001A4A21" w:rsidRPr="00AA5F9D">
        <w:rPr>
          <w:lang w:val="en-US"/>
        </w:rPr>
        <w:t>/</w:t>
      </w:r>
      <w:r w:rsidRPr="00AA5F9D">
        <w:rPr>
          <w:lang w:val="en-US"/>
        </w:rPr>
        <w:t>-4 ka (Scenario B in Table 3) as the most secure estimate of the true fossil age, since it is at least based on dose rate evaluations of sediment directly attached to the M2 tooth. The reliability of this US-ESR age is supported by its agreement with t</w:t>
      </w:r>
      <w:r w:rsidRPr="00AA5F9D">
        <w:t xml:space="preserve">wo single-grain OSL ages of 54.2 </w:t>
      </w:r>
      <w:r w:rsidRPr="00AA5F9D">
        <w:rPr>
          <w:lang w:val="en-US"/>
        </w:rPr>
        <w:t xml:space="preserve">± </w:t>
      </w:r>
      <w:r w:rsidRPr="00AA5F9D">
        <w:t>3.8 to 50.4 </w:t>
      </w:r>
      <w:r w:rsidRPr="00AA5F9D">
        <w:rPr>
          <w:lang w:val="en-US"/>
        </w:rPr>
        <w:t xml:space="preserve">± </w:t>
      </w:r>
      <w:r w:rsidRPr="00AA5F9D">
        <w:t>3.5 ka (1</w:t>
      </w:r>
      <w:r w:rsidRPr="00AA5F9D">
        <w:rPr>
          <w:rFonts w:cs="Calibri"/>
        </w:rPr>
        <w:t>σ</w:t>
      </w:r>
      <w:r w:rsidRPr="00AA5F9D">
        <w:t xml:space="preserve"> uncertainties) obtained for sediment samples associated with other extinct megafaunal remains (</w:t>
      </w:r>
      <w:proofErr w:type="spellStart"/>
      <w:r w:rsidRPr="00AA5F9D">
        <w:rPr>
          <w:i/>
        </w:rPr>
        <w:t>Genyornis</w:t>
      </w:r>
      <w:proofErr w:type="spellEnd"/>
      <w:r w:rsidRPr="00AA5F9D">
        <w:rPr>
          <w:i/>
        </w:rPr>
        <w:t xml:space="preserve"> </w:t>
      </w:r>
      <w:proofErr w:type="spellStart"/>
      <w:r w:rsidR="005118CF" w:rsidRPr="00AA5F9D">
        <w:rPr>
          <w:i/>
        </w:rPr>
        <w:t>n</w:t>
      </w:r>
      <w:r w:rsidRPr="00AA5F9D">
        <w:rPr>
          <w:i/>
        </w:rPr>
        <w:t>ewtoni</w:t>
      </w:r>
      <w:proofErr w:type="spellEnd"/>
      <w:r w:rsidRPr="00AA5F9D">
        <w:t xml:space="preserve">) at nearby Lake Callabonna sites (Site 4 and Site 7; McInerney et al., 2022). </w:t>
      </w:r>
      <w:r w:rsidRPr="00AA5F9D">
        <w:rPr>
          <w:lang w:val="en-US"/>
        </w:rPr>
        <w:t xml:space="preserve">However, additional trapped charge dating assessments of other </w:t>
      </w:r>
      <w:r w:rsidR="00355264" w:rsidRPr="00355264">
        <w:rPr>
          <w:lang w:val="en-US"/>
        </w:rPr>
        <w:t>Diprotodon</w:t>
      </w:r>
      <w:r w:rsidRPr="00AA5F9D">
        <w:rPr>
          <w:lang w:val="en-US"/>
        </w:rPr>
        <w:t xml:space="preserve"> fossil specimens from Site 3, undertaken in conjunction with more representative in situ dose rate evaluations, are needed to establish a more secure chronological framework for the extinct megafauna preserved in this part of the Lake </w:t>
      </w:r>
      <w:proofErr w:type="spellStart"/>
      <w:r w:rsidRPr="00AA5F9D">
        <w:rPr>
          <w:lang w:val="en-US"/>
        </w:rPr>
        <w:t>Callabonna</w:t>
      </w:r>
      <w:proofErr w:type="spellEnd"/>
      <w:r w:rsidRPr="00AA5F9D">
        <w:rPr>
          <w:lang w:val="en-US"/>
        </w:rPr>
        <w:t xml:space="preserve"> basin.</w:t>
      </w:r>
    </w:p>
    <w:p w14:paraId="487EE7C2" w14:textId="77777777" w:rsidR="00F235D8" w:rsidRPr="00AA5F9D" w:rsidRDefault="00573608" w:rsidP="00573608">
      <w:pPr>
        <w:adjustRightInd w:val="0"/>
        <w:snapToGrid w:val="0"/>
        <w:spacing w:line="240" w:lineRule="auto"/>
        <w:rPr>
          <w:b/>
        </w:rPr>
      </w:pPr>
      <w:r w:rsidRPr="00AA5F9D">
        <w:rPr>
          <w:rFonts w:eastAsia="Times Roman"/>
        </w:rPr>
        <w:lastRenderedPageBreak/>
        <w:br/>
      </w:r>
    </w:p>
    <w:p w14:paraId="28B502A6" w14:textId="77777777" w:rsidR="00F235D8" w:rsidRPr="00AA5F9D" w:rsidRDefault="00F235D8" w:rsidP="00573608">
      <w:pPr>
        <w:adjustRightInd w:val="0"/>
        <w:snapToGrid w:val="0"/>
        <w:spacing w:line="240" w:lineRule="auto"/>
        <w:rPr>
          <w:b/>
        </w:rPr>
      </w:pPr>
    </w:p>
    <w:p w14:paraId="26ED4D46" w14:textId="77777777" w:rsidR="00F235D8" w:rsidRPr="00AA5F9D" w:rsidRDefault="00F235D8" w:rsidP="00573608">
      <w:pPr>
        <w:adjustRightInd w:val="0"/>
        <w:snapToGrid w:val="0"/>
        <w:spacing w:line="240" w:lineRule="auto"/>
        <w:rPr>
          <w:b/>
        </w:rPr>
      </w:pPr>
    </w:p>
    <w:p w14:paraId="1964F544" w14:textId="77777777" w:rsidR="00F235D8" w:rsidRPr="00AA5F9D" w:rsidRDefault="00F235D8" w:rsidP="00573608">
      <w:pPr>
        <w:adjustRightInd w:val="0"/>
        <w:snapToGrid w:val="0"/>
        <w:spacing w:line="240" w:lineRule="auto"/>
        <w:rPr>
          <w:b/>
        </w:rPr>
      </w:pPr>
    </w:p>
    <w:p w14:paraId="59A271FD" w14:textId="28C2D19A" w:rsidR="00573608" w:rsidRPr="00AA5F9D" w:rsidRDefault="00AA5F9D" w:rsidP="00573608">
      <w:pPr>
        <w:adjustRightInd w:val="0"/>
        <w:snapToGrid w:val="0"/>
        <w:spacing w:line="240" w:lineRule="auto"/>
        <w:rPr>
          <w:b/>
        </w:rPr>
      </w:pPr>
      <w:r w:rsidRPr="00AA5F9D">
        <w:rPr>
          <w:b/>
        </w:rPr>
        <w:t xml:space="preserve"> </w:t>
      </w:r>
      <w:r w:rsidR="00573608" w:rsidRPr="00AA5F9D">
        <w:rPr>
          <w:b/>
        </w:rPr>
        <w:t>Table S1</w:t>
      </w:r>
      <w:r w:rsidR="00573608" w:rsidRPr="00AA5F9D">
        <w:rPr>
          <w:bCs/>
        </w:rPr>
        <w:t xml:space="preserve">. </w:t>
      </w:r>
      <w:r w:rsidR="00573608" w:rsidRPr="00AA5F9D">
        <w:t>Detailed ESR results obtained for #582. Measurement precision is expressed as the mean coefficient of variation obtained for all the aliquots of a given sample after the two repeated measurements. D</w:t>
      </w:r>
      <w:r w:rsidR="00573608" w:rsidRPr="00AA5F9D">
        <w:rPr>
          <w:vertAlign w:val="subscript"/>
        </w:rPr>
        <w:t>E</w:t>
      </w:r>
      <w:r w:rsidR="00573608" w:rsidRPr="00AA5F9D">
        <w:t xml:space="preserve"> precision is the variation of the D</w:t>
      </w:r>
      <w:r w:rsidR="00573608" w:rsidRPr="00AA5F9D">
        <w:rPr>
          <w:vertAlign w:val="subscript"/>
        </w:rPr>
        <w:t>E</w:t>
      </w:r>
      <w:r w:rsidR="00573608" w:rsidRPr="00AA5F9D">
        <w:t xml:space="preserve"> values derived from the repeated measurements of a given sample (derived from the non-corrected ESR intensities).  </w:t>
      </w:r>
      <w:r w:rsidR="00573608" w:rsidRPr="00AA5F9D">
        <w:rPr>
          <w:rFonts w:eastAsia="Calibri"/>
        </w:rPr>
        <w:t>D</w:t>
      </w:r>
      <w:r w:rsidR="00573608" w:rsidRPr="00AA5F9D">
        <w:rPr>
          <w:rFonts w:eastAsia="Calibri"/>
          <w:vertAlign w:val="subscript"/>
        </w:rPr>
        <w:t>E1</w:t>
      </w:r>
      <w:r w:rsidR="00573608" w:rsidRPr="00AA5F9D">
        <w:rPr>
          <w:rFonts w:eastAsia="Calibri"/>
        </w:rPr>
        <w:t xml:space="preserve"> was obtained by fitting a single saturating exponential (SSE) function (with data weighting by the inverse of the squared signal intensities; 1/I</w:t>
      </w:r>
      <w:r w:rsidR="00573608" w:rsidRPr="00AA5F9D">
        <w:rPr>
          <w:rFonts w:eastAsia="Calibri"/>
          <w:vertAlign w:val="superscript"/>
        </w:rPr>
        <w:t>2</w:t>
      </w:r>
      <w:r w:rsidR="00573608" w:rsidRPr="00AA5F9D">
        <w:rPr>
          <w:rFonts w:eastAsia="Calibri"/>
        </w:rPr>
        <w:t xml:space="preserve">) through the raw ESR signal intensities over the full range of the dose response curve (maximum dose or </w:t>
      </w:r>
      <w:proofErr w:type="spellStart"/>
      <w:r w:rsidR="00573608" w:rsidRPr="00AA5F9D">
        <w:rPr>
          <w:rFonts w:eastAsia="Calibri"/>
        </w:rPr>
        <w:t>D</w:t>
      </w:r>
      <w:r w:rsidR="00573608" w:rsidRPr="00AA5F9D">
        <w:rPr>
          <w:rFonts w:eastAsia="Calibri"/>
          <w:vertAlign w:val="subscript"/>
        </w:rPr>
        <w:t>max</w:t>
      </w:r>
      <w:proofErr w:type="spellEnd"/>
      <w:r w:rsidR="00573608" w:rsidRPr="00AA5F9D">
        <w:rPr>
          <w:rFonts w:eastAsia="Calibri"/>
        </w:rPr>
        <w:t xml:space="preserve"> = 1459 Gy). D</w:t>
      </w:r>
      <w:r w:rsidR="00573608" w:rsidRPr="00AA5F9D">
        <w:rPr>
          <w:rFonts w:eastAsia="Calibri"/>
          <w:vertAlign w:val="subscript"/>
        </w:rPr>
        <w:t xml:space="preserve">E2 </w:t>
      </w:r>
      <w:r w:rsidR="00573608" w:rsidRPr="00AA5F9D">
        <w:rPr>
          <w:rFonts w:eastAsia="Calibri"/>
        </w:rPr>
        <w:t>was calculated in the same manner except the dose response curve fitting was performed over a lower maximum dose range (</w:t>
      </w:r>
      <w:proofErr w:type="spellStart"/>
      <w:r w:rsidR="00573608" w:rsidRPr="00AA5F9D">
        <w:rPr>
          <w:rFonts w:eastAsia="Calibri"/>
        </w:rPr>
        <w:t>D</w:t>
      </w:r>
      <w:r w:rsidR="00573608" w:rsidRPr="00AA5F9D">
        <w:rPr>
          <w:rFonts w:eastAsia="Calibri"/>
          <w:vertAlign w:val="subscript"/>
        </w:rPr>
        <w:t>max</w:t>
      </w:r>
      <w:proofErr w:type="spellEnd"/>
      <w:r w:rsidR="00573608" w:rsidRPr="00AA5F9D">
        <w:rPr>
          <w:rFonts w:eastAsia="Calibri"/>
        </w:rPr>
        <w:t xml:space="preserve"> = 488 Gy) </w:t>
      </w:r>
      <w:proofErr w:type="gramStart"/>
      <w:r w:rsidR="00573608" w:rsidRPr="00AA5F9D">
        <w:rPr>
          <w:rFonts w:eastAsia="Calibri"/>
        </w:rPr>
        <w:t>in order to</w:t>
      </w:r>
      <w:proofErr w:type="gramEnd"/>
      <w:r w:rsidR="00573608" w:rsidRPr="00AA5F9D">
        <w:rPr>
          <w:rFonts w:eastAsia="Calibri"/>
        </w:rPr>
        <w:t xml:space="preserve"> satisfy the </w:t>
      </w:r>
      <w:proofErr w:type="spellStart"/>
      <w:r w:rsidR="00573608" w:rsidRPr="00AA5F9D">
        <w:rPr>
          <w:rFonts w:eastAsia="Calibri"/>
        </w:rPr>
        <w:t>D</w:t>
      </w:r>
      <w:r w:rsidR="00573608" w:rsidRPr="00AA5F9D">
        <w:rPr>
          <w:rFonts w:eastAsia="Calibri"/>
          <w:vertAlign w:val="subscript"/>
        </w:rPr>
        <w:t>max</w:t>
      </w:r>
      <w:proofErr w:type="spellEnd"/>
      <w:r w:rsidR="00573608" w:rsidRPr="00AA5F9D">
        <w:rPr>
          <w:rFonts w:eastAsia="Calibri"/>
        </w:rPr>
        <w:t>/</w:t>
      </w:r>
      <w:r w:rsidR="00BD1DFD" w:rsidRPr="00AA5F9D">
        <w:rPr>
          <w:rFonts w:eastAsia="Calibri"/>
        </w:rPr>
        <w:t>D</w:t>
      </w:r>
      <w:r w:rsidR="00BD1DFD">
        <w:rPr>
          <w:rFonts w:eastAsia="Calibri"/>
          <w:vertAlign w:val="subscript"/>
        </w:rPr>
        <w:t>E</w:t>
      </w:r>
      <w:r w:rsidR="00BD1DFD" w:rsidRPr="00AA5F9D">
        <w:rPr>
          <w:rFonts w:eastAsia="Calibri"/>
        </w:rPr>
        <w:t xml:space="preserve"> </w:t>
      </w:r>
      <w:r w:rsidR="00573608" w:rsidRPr="00AA5F9D">
        <w:rPr>
          <w:rFonts w:eastAsia="Calibri"/>
        </w:rPr>
        <w:t xml:space="preserve">ratio recommendations of Duval </w:t>
      </w:r>
      <w:r w:rsidR="00B94AB1" w:rsidRPr="00AA5F9D">
        <w:rPr>
          <w:rFonts w:eastAsia="Calibri"/>
        </w:rPr>
        <w:t>&amp;</w:t>
      </w:r>
      <w:r w:rsidR="00573608" w:rsidRPr="00AA5F9D">
        <w:rPr>
          <w:rFonts w:eastAsia="Calibri"/>
        </w:rPr>
        <w:t xml:space="preserve"> Grün (2016). D</w:t>
      </w:r>
      <w:r w:rsidR="00573608" w:rsidRPr="00AA5F9D">
        <w:rPr>
          <w:rFonts w:eastAsia="Calibri"/>
          <w:vertAlign w:val="subscript"/>
        </w:rPr>
        <w:t>E3</w:t>
      </w:r>
      <w:r w:rsidR="00573608" w:rsidRPr="00AA5F9D">
        <w:rPr>
          <w:rFonts w:eastAsia="Calibri"/>
        </w:rPr>
        <w:t xml:space="preserve"> was obtained using the same fitting constraints as D</w:t>
      </w:r>
      <w:r w:rsidR="00573608" w:rsidRPr="00AA5F9D">
        <w:rPr>
          <w:rFonts w:eastAsia="Calibri"/>
          <w:vertAlign w:val="subscript"/>
        </w:rPr>
        <w:t>E2</w:t>
      </w:r>
      <w:r w:rsidR="00573608" w:rsidRPr="00AA5F9D">
        <w:rPr>
          <w:rFonts w:eastAsia="Calibri"/>
        </w:rPr>
        <w:t xml:space="preserve">, but the dose response curve was constructed using baseline-corrected ESR intensities (baseline correction was carried out with </w:t>
      </w:r>
      <w:proofErr w:type="spellStart"/>
      <w:r w:rsidR="00573608" w:rsidRPr="00AA5F9D">
        <w:rPr>
          <w:rFonts w:eastAsia="Calibri"/>
        </w:rPr>
        <w:t>WinEPR</w:t>
      </w:r>
      <w:proofErr w:type="spellEnd"/>
      <w:r w:rsidR="00573608" w:rsidRPr="00AA5F9D">
        <w:rPr>
          <w:rFonts w:eastAsia="Calibri"/>
        </w:rPr>
        <w:t xml:space="preserve"> System software using a cubic function). </w:t>
      </w:r>
      <w:r w:rsidR="00BD1DFD" w:rsidRPr="00AA5F9D">
        <w:rPr>
          <w:rFonts w:eastAsia="Calibri"/>
        </w:rPr>
        <w:t>D</w:t>
      </w:r>
      <w:r w:rsidR="00BD1DFD">
        <w:rPr>
          <w:rFonts w:eastAsia="Calibri"/>
          <w:vertAlign w:val="subscript"/>
        </w:rPr>
        <w:t>E</w:t>
      </w:r>
      <w:r w:rsidR="00BD1DFD" w:rsidRPr="00AA5F9D">
        <w:rPr>
          <w:rFonts w:eastAsia="Calibri"/>
          <w:vertAlign w:val="subscript"/>
        </w:rPr>
        <w:t>4</w:t>
      </w:r>
      <w:r w:rsidR="00BD1DFD" w:rsidRPr="00AA5F9D">
        <w:rPr>
          <w:rFonts w:eastAsia="Calibri"/>
        </w:rPr>
        <w:t xml:space="preserve"> </w:t>
      </w:r>
      <w:r w:rsidR="00573608" w:rsidRPr="00AA5F9D">
        <w:rPr>
          <w:rFonts w:eastAsia="Calibri"/>
        </w:rPr>
        <w:t>were obtained using the same fitting constraints as D</w:t>
      </w:r>
      <w:r w:rsidR="00573608" w:rsidRPr="00AA5F9D">
        <w:rPr>
          <w:rFonts w:eastAsia="Calibri"/>
          <w:vertAlign w:val="subscript"/>
        </w:rPr>
        <w:t>E3</w:t>
      </w:r>
      <w:r w:rsidR="00573608" w:rsidRPr="00AA5F9D">
        <w:rPr>
          <w:rFonts w:eastAsia="Calibri"/>
        </w:rPr>
        <w:t xml:space="preserve">, but the dose response curve was constructed using baseline-corrected and noise-subtracted (see explanation in Arnold et al., </w:t>
      </w:r>
      <w:r w:rsidR="00BD1DFD">
        <w:rPr>
          <w:rFonts w:eastAsia="Calibri"/>
        </w:rPr>
        <w:t>2024</w:t>
      </w:r>
      <w:r w:rsidR="00573608" w:rsidRPr="00AA5F9D">
        <w:rPr>
          <w:rFonts w:eastAsia="Calibri"/>
        </w:rPr>
        <w:t xml:space="preserve">) ESR intensities. </w:t>
      </w:r>
      <w:r w:rsidR="00BD1DFD" w:rsidRPr="00AA5F9D">
        <w:rPr>
          <w:rFonts w:eastAsia="Calibri"/>
        </w:rPr>
        <w:t>D</w:t>
      </w:r>
      <w:r w:rsidR="00BD1DFD">
        <w:rPr>
          <w:rFonts w:eastAsia="Calibri"/>
          <w:vertAlign w:val="subscript"/>
        </w:rPr>
        <w:t>E</w:t>
      </w:r>
      <w:r w:rsidR="00BD1DFD" w:rsidRPr="00AA5F9D">
        <w:rPr>
          <w:rFonts w:eastAsia="Calibri"/>
          <w:vertAlign w:val="subscript"/>
        </w:rPr>
        <w:t>5</w:t>
      </w:r>
      <w:r w:rsidR="00BD1DFD" w:rsidRPr="00AA5F9D">
        <w:rPr>
          <w:rFonts w:eastAsia="Calibri"/>
        </w:rPr>
        <w:t xml:space="preserve"> </w:t>
      </w:r>
      <w:r w:rsidR="00573608" w:rsidRPr="00AA5F9D">
        <w:rPr>
          <w:rFonts w:eastAsia="Calibri"/>
        </w:rPr>
        <w:t xml:space="preserve">was calculated in the same manner as </w:t>
      </w:r>
      <w:r w:rsidR="00BD1DFD" w:rsidRPr="00AA5F9D">
        <w:rPr>
          <w:rFonts w:eastAsia="Calibri"/>
        </w:rPr>
        <w:t>D</w:t>
      </w:r>
      <w:r w:rsidR="00BD1DFD">
        <w:rPr>
          <w:rFonts w:eastAsia="Calibri"/>
          <w:vertAlign w:val="subscript"/>
        </w:rPr>
        <w:t>E</w:t>
      </w:r>
      <w:r w:rsidR="00BD1DFD" w:rsidRPr="00AA5F9D">
        <w:rPr>
          <w:rFonts w:eastAsia="Calibri"/>
          <w:vertAlign w:val="subscript"/>
        </w:rPr>
        <w:t>4</w:t>
      </w:r>
      <w:r w:rsidR="00573608" w:rsidRPr="00AA5F9D">
        <w:rPr>
          <w:rFonts w:eastAsia="Calibri"/>
        </w:rPr>
        <w:t xml:space="preserve">, with the exception that the dose response curve was fitted using </w:t>
      </w:r>
      <w:proofErr w:type="gramStart"/>
      <w:r w:rsidR="00573608" w:rsidRPr="00AA5F9D">
        <w:rPr>
          <w:rFonts w:eastAsia="Calibri"/>
        </w:rPr>
        <w:t>a</w:t>
      </w:r>
      <w:proofErr w:type="gramEnd"/>
      <w:r w:rsidR="00573608" w:rsidRPr="00AA5F9D">
        <w:rPr>
          <w:rFonts w:eastAsia="Calibri"/>
        </w:rPr>
        <w:t xml:space="preserve"> SSE function with data weighting equal to the inverse of the squared relative uncertainty of each dose point (1/</w:t>
      </w:r>
      <w:r w:rsidR="00BD1DFD">
        <w:rPr>
          <w:rFonts w:eastAsia="Calibri"/>
        </w:rPr>
        <w:t>s</w:t>
      </w:r>
      <w:r w:rsidR="00BD1DFD" w:rsidRPr="00AA5F9D">
        <w:rPr>
          <w:rFonts w:eastAsia="Calibri"/>
          <w:vertAlign w:val="superscript"/>
        </w:rPr>
        <w:t>2</w:t>
      </w:r>
      <w:r w:rsidR="00573608" w:rsidRPr="00AA5F9D">
        <w:rPr>
          <w:rFonts w:eastAsia="Calibri"/>
        </w:rPr>
        <w:t>) rather than 1/I</w:t>
      </w:r>
      <w:r w:rsidR="00573608" w:rsidRPr="00AA5F9D">
        <w:rPr>
          <w:rFonts w:eastAsia="Calibri"/>
          <w:vertAlign w:val="superscript"/>
        </w:rPr>
        <w:t>2</w:t>
      </w:r>
      <w:r w:rsidR="00573608" w:rsidRPr="00AA5F9D">
        <w:rPr>
          <w:rFonts w:eastAsia="Calibri"/>
        </w:rPr>
        <w:t>. Uncertainties are given at 1σ.</w:t>
      </w:r>
    </w:p>
    <w:p w14:paraId="1C30FB86" w14:textId="77777777" w:rsidR="00573608" w:rsidRPr="00AA5F9D" w:rsidRDefault="00573608" w:rsidP="00573608">
      <w:pPr>
        <w:adjustRightInd w:val="0"/>
        <w:snapToGrid w:val="0"/>
        <w:spacing w:line="240" w:lineRule="auto"/>
        <w:rPr>
          <w:bCs/>
        </w:rPr>
      </w:pPr>
    </w:p>
    <w:p w14:paraId="1E2E0BC3" w14:textId="77777777" w:rsidR="00573608" w:rsidRPr="00AA5F9D" w:rsidRDefault="00573608" w:rsidP="00573608">
      <w:pPr>
        <w:adjustRightInd w:val="0"/>
        <w:snapToGrid w:val="0"/>
        <w:spacing w:line="240" w:lineRule="auto"/>
        <w:rPr>
          <w:lang w:val="it-IT"/>
        </w:rPr>
      </w:pPr>
    </w:p>
    <w:p w14:paraId="678607A3" w14:textId="77777777" w:rsidR="00573608" w:rsidRPr="00AA5F9D" w:rsidRDefault="00573608" w:rsidP="00573608">
      <w:pPr>
        <w:adjustRightInd w:val="0"/>
        <w:snapToGrid w:val="0"/>
        <w:spacing w:line="240" w:lineRule="auto"/>
        <w:rPr>
          <w:lang w:val="it-IT"/>
        </w:rPr>
      </w:pPr>
    </w:p>
    <w:p w14:paraId="1BDFE337" w14:textId="77777777" w:rsidR="00573608" w:rsidRPr="00AA5F9D" w:rsidRDefault="00573608" w:rsidP="00573608">
      <w:pPr>
        <w:adjustRightInd w:val="0"/>
        <w:snapToGrid w:val="0"/>
        <w:spacing w:line="240" w:lineRule="auto"/>
        <w:rPr>
          <w:lang w:val="it-IT"/>
        </w:rPr>
      </w:pPr>
    </w:p>
    <w:p w14:paraId="771C7724" w14:textId="77777777" w:rsidR="00573608" w:rsidRPr="00AA5F9D" w:rsidRDefault="00573608" w:rsidP="00573608">
      <w:pPr>
        <w:adjustRightInd w:val="0"/>
        <w:snapToGrid w:val="0"/>
        <w:spacing w:line="240" w:lineRule="auto"/>
        <w:rPr>
          <w:lang w:val="it-IT"/>
        </w:rPr>
      </w:pPr>
    </w:p>
    <w:p w14:paraId="1A1388D5" w14:textId="77777777" w:rsidR="00573608" w:rsidRPr="00AA5F9D" w:rsidRDefault="00573608" w:rsidP="00573608">
      <w:pPr>
        <w:adjustRightInd w:val="0"/>
        <w:snapToGrid w:val="0"/>
        <w:spacing w:line="240" w:lineRule="auto"/>
        <w:rPr>
          <w:lang w:val="it-IT"/>
        </w:rPr>
      </w:pPr>
    </w:p>
    <w:p w14:paraId="7A75044E" w14:textId="77777777" w:rsidR="00573608" w:rsidRPr="00AA5F9D" w:rsidRDefault="00573608" w:rsidP="00573608">
      <w:pPr>
        <w:adjustRightInd w:val="0"/>
        <w:snapToGrid w:val="0"/>
        <w:spacing w:line="240" w:lineRule="auto"/>
        <w:rPr>
          <w:lang w:val="it-IT"/>
        </w:rPr>
      </w:pPr>
    </w:p>
    <w:p w14:paraId="763315A0" w14:textId="77777777" w:rsidR="00573608" w:rsidRPr="00AA5F9D" w:rsidRDefault="00573608" w:rsidP="00573608">
      <w:pPr>
        <w:adjustRightInd w:val="0"/>
        <w:snapToGrid w:val="0"/>
        <w:spacing w:line="240" w:lineRule="auto"/>
        <w:rPr>
          <w:lang w:val="it-IT"/>
        </w:rPr>
      </w:pPr>
    </w:p>
    <w:p w14:paraId="20D18D8B" w14:textId="77777777" w:rsidR="00573608" w:rsidRPr="00AA5F9D" w:rsidRDefault="00573608" w:rsidP="00573608">
      <w:pPr>
        <w:adjustRightInd w:val="0"/>
        <w:snapToGrid w:val="0"/>
        <w:spacing w:line="240" w:lineRule="auto"/>
        <w:rPr>
          <w:lang w:val="it-IT"/>
        </w:rPr>
      </w:pPr>
    </w:p>
    <w:p w14:paraId="222FCF0F" w14:textId="77777777" w:rsidR="00573608" w:rsidRPr="00AA5F9D" w:rsidRDefault="00573608" w:rsidP="00573608">
      <w:pPr>
        <w:adjustRightInd w:val="0"/>
        <w:snapToGrid w:val="0"/>
        <w:spacing w:line="240" w:lineRule="auto"/>
        <w:rPr>
          <w:lang w:val="it-IT"/>
        </w:rPr>
      </w:pPr>
    </w:p>
    <w:p w14:paraId="1F2749D1" w14:textId="77777777" w:rsidR="00573608" w:rsidRPr="00AA5F9D" w:rsidRDefault="00573608" w:rsidP="00573608">
      <w:pPr>
        <w:adjustRightInd w:val="0"/>
        <w:snapToGrid w:val="0"/>
        <w:spacing w:line="240" w:lineRule="auto"/>
        <w:rPr>
          <w:lang w:val="it-IT"/>
        </w:rPr>
      </w:pPr>
    </w:p>
    <w:p w14:paraId="4147A8D3" w14:textId="77777777" w:rsidR="00573608" w:rsidRPr="00AA5F9D" w:rsidRDefault="00573608" w:rsidP="00573608">
      <w:pPr>
        <w:adjustRightInd w:val="0"/>
        <w:snapToGrid w:val="0"/>
        <w:spacing w:line="240" w:lineRule="auto"/>
        <w:rPr>
          <w:lang w:val="it-IT"/>
        </w:rPr>
      </w:pPr>
    </w:p>
    <w:p w14:paraId="7C4BF1C5" w14:textId="77777777" w:rsidR="00AA5F9D" w:rsidRPr="00AA5F9D" w:rsidRDefault="00573608" w:rsidP="00B94AB1">
      <w:pPr>
        <w:spacing w:line="240" w:lineRule="auto"/>
        <w:rPr>
          <w:b/>
          <w:bCs/>
          <w:lang w:val="it-IT"/>
        </w:rPr>
      </w:pPr>
      <w:r w:rsidRPr="00AA5F9D">
        <w:rPr>
          <w:b/>
          <w:bCs/>
          <w:lang w:val="it-IT"/>
        </w:rPr>
        <w:br w:type="page"/>
      </w:r>
    </w:p>
    <w:tbl>
      <w:tblPr>
        <w:tblpPr w:leftFromText="180" w:rightFromText="180" w:vertAnchor="text" w:horzAnchor="margin" w:tblpXSpec="center" w:tblpY="-253"/>
        <w:tblW w:w="0" w:type="auto"/>
        <w:tblBorders>
          <w:bottom w:val="single" w:sz="4" w:space="0" w:color="auto"/>
          <w:insideV w:val="single" w:sz="4" w:space="0" w:color="auto"/>
        </w:tblBorders>
        <w:tblLook w:val="04A0" w:firstRow="1" w:lastRow="0" w:firstColumn="1" w:lastColumn="0" w:noHBand="0" w:noVBand="1"/>
      </w:tblPr>
      <w:tblGrid>
        <w:gridCol w:w="3974"/>
        <w:gridCol w:w="1301"/>
      </w:tblGrid>
      <w:tr w:rsidR="00AA5F9D" w:rsidRPr="00AA5F9D" w14:paraId="77C4E2A0" w14:textId="77777777" w:rsidTr="00AA5F9D">
        <w:tc>
          <w:tcPr>
            <w:tcW w:w="0" w:type="auto"/>
            <w:tcBorders>
              <w:bottom w:val="single" w:sz="4" w:space="0" w:color="auto"/>
              <w:right w:val="nil"/>
            </w:tcBorders>
            <w:shd w:val="clear" w:color="auto" w:fill="auto"/>
            <w:vAlign w:val="center"/>
          </w:tcPr>
          <w:p w14:paraId="0886FF71" w14:textId="77777777" w:rsidR="00AA5F9D" w:rsidRPr="00AA5F9D" w:rsidRDefault="00AA5F9D" w:rsidP="00B62085">
            <w:pPr>
              <w:adjustRightInd w:val="0"/>
              <w:snapToGrid w:val="0"/>
              <w:spacing w:after="0" w:line="240" w:lineRule="auto"/>
              <w:rPr>
                <w:rFonts w:ascii="Helvetica" w:hAnsi="Helvetica"/>
                <w:b/>
                <w:bCs/>
                <w:sz w:val="20"/>
                <w:szCs w:val="20"/>
              </w:rPr>
            </w:pPr>
            <w:r w:rsidRPr="00AA5F9D">
              <w:rPr>
                <w:rFonts w:ascii="Helvetica" w:hAnsi="Helvetica"/>
                <w:b/>
                <w:bCs/>
                <w:sz w:val="20"/>
                <w:szCs w:val="20"/>
                <w:lang w:eastAsia="en-AU"/>
              </w:rPr>
              <w:lastRenderedPageBreak/>
              <w:t>Sample</w:t>
            </w:r>
          </w:p>
        </w:tc>
        <w:tc>
          <w:tcPr>
            <w:tcW w:w="0" w:type="auto"/>
            <w:tcBorders>
              <w:left w:val="nil"/>
              <w:bottom w:val="single" w:sz="4" w:space="0" w:color="auto"/>
            </w:tcBorders>
            <w:shd w:val="clear" w:color="auto" w:fill="auto"/>
          </w:tcPr>
          <w:p w14:paraId="3E0242AE" w14:textId="77777777" w:rsidR="00AA5F9D" w:rsidRPr="00AA5F9D" w:rsidRDefault="00AA5F9D" w:rsidP="00B62085">
            <w:pPr>
              <w:adjustRightInd w:val="0"/>
              <w:snapToGrid w:val="0"/>
              <w:spacing w:after="0" w:line="240" w:lineRule="auto"/>
              <w:rPr>
                <w:rFonts w:ascii="Helvetica" w:hAnsi="Helvetica"/>
                <w:b/>
                <w:bCs/>
                <w:sz w:val="20"/>
                <w:szCs w:val="20"/>
              </w:rPr>
            </w:pPr>
            <w:r w:rsidRPr="00AA5F9D">
              <w:rPr>
                <w:rFonts w:ascii="Helvetica" w:hAnsi="Helvetica"/>
                <w:b/>
                <w:bCs/>
                <w:sz w:val="20"/>
                <w:szCs w:val="20"/>
              </w:rPr>
              <w:t>#582</w:t>
            </w:r>
          </w:p>
        </w:tc>
      </w:tr>
      <w:tr w:rsidR="00AA5F9D" w:rsidRPr="00AA5F9D" w14:paraId="4AAB4AC3" w14:textId="77777777" w:rsidTr="00AA5F9D">
        <w:tc>
          <w:tcPr>
            <w:tcW w:w="0" w:type="auto"/>
            <w:tcBorders>
              <w:top w:val="single" w:sz="4" w:space="0" w:color="auto"/>
            </w:tcBorders>
            <w:shd w:val="clear" w:color="auto" w:fill="auto"/>
          </w:tcPr>
          <w:p w14:paraId="57371706"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lang w:eastAsia="en-AU"/>
              </w:rPr>
              <w:t>Average weight per aliquot (mg)</w:t>
            </w:r>
          </w:p>
        </w:tc>
        <w:tc>
          <w:tcPr>
            <w:tcW w:w="0" w:type="auto"/>
            <w:tcBorders>
              <w:top w:val="single" w:sz="4" w:space="0" w:color="auto"/>
            </w:tcBorders>
            <w:shd w:val="clear" w:color="auto" w:fill="auto"/>
          </w:tcPr>
          <w:p w14:paraId="777B279B"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rPr>
              <w:t xml:space="preserve">19.6 </w:t>
            </w:r>
            <w:r w:rsidRPr="00AA5F9D">
              <w:rPr>
                <w:rFonts w:ascii="Helvetica" w:hAnsi="Helvetica"/>
                <w:sz w:val="20"/>
                <w:szCs w:val="20"/>
                <w:lang w:eastAsia="en-AU"/>
              </w:rPr>
              <w:t>± 0.3</w:t>
            </w:r>
          </w:p>
        </w:tc>
      </w:tr>
      <w:tr w:rsidR="00AA5F9D" w:rsidRPr="00AA5F9D" w14:paraId="6861B6C5" w14:textId="77777777" w:rsidTr="00AA5F9D">
        <w:tc>
          <w:tcPr>
            <w:tcW w:w="0" w:type="auto"/>
            <w:shd w:val="clear" w:color="auto" w:fill="auto"/>
          </w:tcPr>
          <w:p w14:paraId="285FF26F"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rPr>
              <w:t xml:space="preserve">Number of repeated measurements </w:t>
            </w:r>
          </w:p>
        </w:tc>
        <w:tc>
          <w:tcPr>
            <w:tcW w:w="0" w:type="auto"/>
            <w:shd w:val="clear" w:color="auto" w:fill="auto"/>
          </w:tcPr>
          <w:p w14:paraId="03E44CC4"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rPr>
              <w:t>2</w:t>
            </w:r>
          </w:p>
        </w:tc>
      </w:tr>
      <w:tr w:rsidR="00AA5F9D" w:rsidRPr="00AA5F9D" w14:paraId="36296AE6" w14:textId="77777777" w:rsidTr="00AA5F9D">
        <w:tc>
          <w:tcPr>
            <w:tcW w:w="0" w:type="auto"/>
            <w:tcBorders>
              <w:bottom w:val="nil"/>
            </w:tcBorders>
            <w:shd w:val="clear" w:color="auto" w:fill="auto"/>
          </w:tcPr>
          <w:p w14:paraId="07AD8CEB"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lang w:eastAsia="en-AU"/>
              </w:rPr>
              <w:t>Mean ESR intensity precision (%)</w:t>
            </w:r>
          </w:p>
        </w:tc>
        <w:tc>
          <w:tcPr>
            <w:tcW w:w="0" w:type="auto"/>
            <w:tcBorders>
              <w:bottom w:val="nil"/>
            </w:tcBorders>
            <w:shd w:val="clear" w:color="auto" w:fill="auto"/>
          </w:tcPr>
          <w:p w14:paraId="2803D5AF"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rPr>
              <w:t>0.6</w:t>
            </w:r>
          </w:p>
        </w:tc>
      </w:tr>
      <w:tr w:rsidR="00AA5F9D" w:rsidRPr="00AA5F9D" w14:paraId="2F7AADFD" w14:textId="77777777" w:rsidTr="00AA5F9D">
        <w:tc>
          <w:tcPr>
            <w:tcW w:w="0" w:type="auto"/>
            <w:gridSpan w:val="2"/>
            <w:tcBorders>
              <w:bottom w:val="single" w:sz="4" w:space="0" w:color="auto"/>
            </w:tcBorders>
            <w:shd w:val="clear" w:color="auto" w:fill="auto"/>
          </w:tcPr>
          <w:p w14:paraId="6DF6C89A" w14:textId="77777777" w:rsidR="00AA5F9D" w:rsidRPr="00AA5F9D" w:rsidRDefault="00AA5F9D" w:rsidP="00B62085">
            <w:pPr>
              <w:adjustRightInd w:val="0"/>
              <w:snapToGrid w:val="0"/>
              <w:spacing w:after="0" w:line="240" w:lineRule="auto"/>
              <w:rPr>
                <w:rFonts w:ascii="Helvetica" w:hAnsi="Helvetica"/>
                <w:b/>
                <w:bCs/>
                <w:sz w:val="20"/>
                <w:szCs w:val="20"/>
              </w:rPr>
            </w:pPr>
            <w:r w:rsidRPr="00AA5F9D">
              <w:rPr>
                <w:rFonts w:ascii="Helvetica" w:hAnsi="Helvetica"/>
                <w:b/>
                <w:bCs/>
                <w:sz w:val="20"/>
                <w:szCs w:val="20"/>
              </w:rPr>
              <w:t>SSE fitting (data weighting by 1/I</w:t>
            </w:r>
            <w:r w:rsidRPr="00AA5F9D">
              <w:rPr>
                <w:rFonts w:ascii="Helvetica" w:hAnsi="Helvetica"/>
                <w:b/>
                <w:bCs/>
                <w:sz w:val="20"/>
                <w:szCs w:val="20"/>
                <w:vertAlign w:val="superscript"/>
              </w:rPr>
              <w:t>2</w:t>
            </w:r>
            <w:r w:rsidRPr="00AA5F9D">
              <w:rPr>
                <w:rFonts w:ascii="Helvetica" w:hAnsi="Helvetica"/>
                <w:b/>
                <w:bCs/>
                <w:sz w:val="20"/>
                <w:szCs w:val="20"/>
              </w:rPr>
              <w:t>)</w:t>
            </w:r>
          </w:p>
        </w:tc>
      </w:tr>
      <w:tr w:rsidR="00AA5F9D" w:rsidRPr="00AA5F9D" w14:paraId="6E78275F" w14:textId="77777777" w:rsidTr="00AA5F9D">
        <w:tc>
          <w:tcPr>
            <w:tcW w:w="0" w:type="auto"/>
            <w:gridSpan w:val="2"/>
            <w:tcBorders>
              <w:top w:val="single" w:sz="4" w:space="0" w:color="auto"/>
              <w:bottom w:val="single" w:sz="4" w:space="0" w:color="auto"/>
            </w:tcBorders>
            <w:shd w:val="clear" w:color="auto" w:fill="auto"/>
          </w:tcPr>
          <w:p w14:paraId="107187EC"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rPr>
              <w:t>Non-corrected ESR intensities</w:t>
            </w:r>
          </w:p>
        </w:tc>
      </w:tr>
      <w:tr w:rsidR="00AA5F9D" w:rsidRPr="00AA5F9D" w14:paraId="087F86BE" w14:textId="77777777" w:rsidTr="00AA5F9D">
        <w:tc>
          <w:tcPr>
            <w:tcW w:w="0" w:type="auto"/>
            <w:tcBorders>
              <w:top w:val="single" w:sz="4" w:space="0" w:color="auto"/>
            </w:tcBorders>
            <w:shd w:val="clear" w:color="auto" w:fill="auto"/>
            <w:vAlign w:val="center"/>
          </w:tcPr>
          <w:p w14:paraId="128B6206" w14:textId="77777777" w:rsidR="00AA5F9D" w:rsidRPr="00AA5F9D" w:rsidRDefault="00AA5F9D" w:rsidP="00B62085">
            <w:pPr>
              <w:adjustRightInd w:val="0"/>
              <w:snapToGrid w:val="0"/>
              <w:spacing w:after="0" w:line="240" w:lineRule="auto"/>
              <w:rPr>
                <w:rFonts w:ascii="Helvetica" w:hAnsi="Helvetica"/>
                <w:sz w:val="20"/>
                <w:szCs w:val="20"/>
                <w:lang w:val="fr-FR" w:eastAsia="en-AU"/>
              </w:rPr>
            </w:pPr>
            <w:proofErr w:type="spellStart"/>
            <w:r w:rsidRPr="00AA5F9D">
              <w:rPr>
                <w:rFonts w:ascii="Helvetica" w:hAnsi="Helvetica"/>
                <w:sz w:val="20"/>
                <w:szCs w:val="20"/>
                <w:lang w:val="fr-FR" w:eastAsia="en-AU"/>
              </w:rPr>
              <w:t>D</w:t>
            </w:r>
            <w:r w:rsidRPr="00AA5F9D">
              <w:rPr>
                <w:rFonts w:ascii="Helvetica" w:hAnsi="Helvetica"/>
                <w:sz w:val="20"/>
                <w:szCs w:val="20"/>
                <w:vertAlign w:val="subscript"/>
                <w:lang w:val="fr-FR" w:eastAsia="en-AU"/>
              </w:rPr>
              <w:t>max</w:t>
            </w:r>
            <w:proofErr w:type="spellEnd"/>
            <w:r w:rsidRPr="00AA5F9D">
              <w:rPr>
                <w:rFonts w:ascii="Helvetica" w:hAnsi="Helvetica"/>
                <w:sz w:val="20"/>
                <w:szCs w:val="20"/>
                <w:lang w:val="fr-FR" w:eastAsia="en-AU"/>
              </w:rPr>
              <w:t xml:space="preserve"> (Gy)</w:t>
            </w:r>
          </w:p>
        </w:tc>
        <w:tc>
          <w:tcPr>
            <w:tcW w:w="0" w:type="auto"/>
            <w:tcBorders>
              <w:top w:val="single" w:sz="4" w:space="0" w:color="auto"/>
            </w:tcBorders>
            <w:shd w:val="clear" w:color="auto" w:fill="auto"/>
          </w:tcPr>
          <w:p w14:paraId="083C330F"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lang w:val="fr-FR" w:eastAsia="en-AU"/>
              </w:rPr>
              <w:t>1464</w:t>
            </w:r>
          </w:p>
        </w:tc>
      </w:tr>
      <w:tr w:rsidR="00AA5F9D" w:rsidRPr="00AA5F9D" w14:paraId="663C57E6" w14:textId="77777777" w:rsidTr="00AA5F9D">
        <w:tc>
          <w:tcPr>
            <w:tcW w:w="0" w:type="auto"/>
            <w:shd w:val="clear" w:color="auto" w:fill="auto"/>
            <w:vAlign w:val="center"/>
          </w:tcPr>
          <w:p w14:paraId="1F60D4A8"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lang w:eastAsia="en-AU"/>
              </w:rPr>
              <w:t>D</w:t>
            </w:r>
            <w:r w:rsidRPr="00AA5F9D">
              <w:rPr>
                <w:rFonts w:ascii="Helvetica" w:hAnsi="Helvetica"/>
                <w:sz w:val="20"/>
                <w:szCs w:val="20"/>
                <w:vertAlign w:val="subscript"/>
                <w:lang w:eastAsia="en-AU"/>
              </w:rPr>
              <w:t>E</w:t>
            </w:r>
            <w:r w:rsidRPr="00AA5F9D">
              <w:rPr>
                <w:rFonts w:ascii="Helvetica" w:hAnsi="Helvetica"/>
                <w:sz w:val="20"/>
                <w:szCs w:val="20"/>
                <w:lang w:eastAsia="en-AU"/>
              </w:rPr>
              <w:t xml:space="preserve"> precision (%)</w:t>
            </w:r>
          </w:p>
        </w:tc>
        <w:tc>
          <w:tcPr>
            <w:tcW w:w="0" w:type="auto"/>
            <w:shd w:val="clear" w:color="auto" w:fill="auto"/>
          </w:tcPr>
          <w:p w14:paraId="60CAFC42"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rPr>
              <w:t>2.0</w:t>
            </w:r>
          </w:p>
        </w:tc>
      </w:tr>
      <w:tr w:rsidR="00AA5F9D" w:rsidRPr="00AA5F9D" w14:paraId="7E53DACC" w14:textId="77777777" w:rsidTr="00AA5F9D">
        <w:tc>
          <w:tcPr>
            <w:tcW w:w="0" w:type="auto"/>
            <w:shd w:val="clear" w:color="auto" w:fill="auto"/>
            <w:vAlign w:val="center"/>
          </w:tcPr>
          <w:p w14:paraId="34051049"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lang w:eastAsia="en-AU"/>
              </w:rPr>
              <w:t>Adj. r-Square</w:t>
            </w:r>
          </w:p>
        </w:tc>
        <w:tc>
          <w:tcPr>
            <w:tcW w:w="0" w:type="auto"/>
            <w:shd w:val="clear" w:color="auto" w:fill="auto"/>
          </w:tcPr>
          <w:p w14:paraId="414E926B"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rPr>
              <w:t>1.000</w:t>
            </w:r>
          </w:p>
        </w:tc>
      </w:tr>
      <w:tr w:rsidR="00AA5F9D" w:rsidRPr="00AA5F9D" w14:paraId="6C850AA3" w14:textId="77777777" w:rsidTr="00AA5F9D">
        <w:tc>
          <w:tcPr>
            <w:tcW w:w="0" w:type="auto"/>
            <w:shd w:val="clear" w:color="auto" w:fill="auto"/>
            <w:vAlign w:val="center"/>
          </w:tcPr>
          <w:p w14:paraId="71FDD2B2"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lang w:eastAsia="en-AU"/>
              </w:rPr>
              <w:t>D</w:t>
            </w:r>
            <w:r w:rsidRPr="00AA5F9D">
              <w:rPr>
                <w:rFonts w:ascii="Helvetica" w:hAnsi="Helvetica"/>
                <w:sz w:val="20"/>
                <w:szCs w:val="20"/>
                <w:vertAlign w:val="subscript"/>
                <w:lang w:eastAsia="en-AU"/>
              </w:rPr>
              <w:t>E1</w:t>
            </w:r>
            <w:r w:rsidRPr="00AA5F9D">
              <w:rPr>
                <w:rFonts w:ascii="Helvetica" w:hAnsi="Helvetica"/>
                <w:sz w:val="20"/>
                <w:szCs w:val="20"/>
                <w:lang w:eastAsia="en-AU"/>
              </w:rPr>
              <w:t xml:space="preserve"> (Gy)</w:t>
            </w:r>
          </w:p>
        </w:tc>
        <w:tc>
          <w:tcPr>
            <w:tcW w:w="0" w:type="auto"/>
            <w:shd w:val="clear" w:color="auto" w:fill="auto"/>
          </w:tcPr>
          <w:p w14:paraId="3188E9FB" w14:textId="77777777" w:rsidR="00AA5F9D" w:rsidRPr="00AA5F9D" w:rsidRDefault="00AA5F9D" w:rsidP="00B62085">
            <w:pPr>
              <w:adjustRightInd w:val="0"/>
              <w:snapToGrid w:val="0"/>
              <w:spacing w:after="0" w:line="240" w:lineRule="auto"/>
              <w:rPr>
                <w:rFonts w:ascii="Helvetica" w:hAnsi="Helvetica"/>
                <w:sz w:val="20"/>
                <w:szCs w:val="20"/>
                <w:lang w:val="fr-FR"/>
              </w:rPr>
            </w:pPr>
            <w:r w:rsidRPr="00AA5F9D">
              <w:rPr>
                <w:rFonts w:ascii="Helvetica" w:hAnsi="Helvetica"/>
                <w:sz w:val="20"/>
                <w:szCs w:val="20"/>
                <w:lang w:val="fr-FR"/>
              </w:rPr>
              <w:t xml:space="preserve">65.2 </w:t>
            </w:r>
            <w:r w:rsidRPr="00AA5F9D">
              <w:rPr>
                <w:rFonts w:ascii="Helvetica" w:hAnsi="Helvetica"/>
                <w:sz w:val="20"/>
                <w:szCs w:val="20"/>
                <w:lang w:val="fr-FR" w:eastAsia="en-AU"/>
              </w:rPr>
              <w:t>± 1.2</w:t>
            </w:r>
          </w:p>
        </w:tc>
      </w:tr>
      <w:tr w:rsidR="00AA5F9D" w:rsidRPr="00AA5F9D" w14:paraId="5674C8AD" w14:textId="77777777" w:rsidTr="00AA5F9D">
        <w:tc>
          <w:tcPr>
            <w:tcW w:w="0" w:type="auto"/>
            <w:shd w:val="clear" w:color="auto" w:fill="auto"/>
            <w:vAlign w:val="center"/>
          </w:tcPr>
          <w:p w14:paraId="46F601DB" w14:textId="77777777" w:rsidR="00AA5F9D" w:rsidRPr="00AA5F9D" w:rsidRDefault="00AA5F9D" w:rsidP="00B62085">
            <w:pPr>
              <w:adjustRightInd w:val="0"/>
              <w:snapToGrid w:val="0"/>
              <w:spacing w:after="0" w:line="240" w:lineRule="auto"/>
              <w:rPr>
                <w:rFonts w:ascii="Helvetica" w:hAnsi="Helvetica"/>
                <w:sz w:val="20"/>
                <w:szCs w:val="20"/>
                <w:lang w:val="fr-FR" w:eastAsia="en-AU"/>
              </w:rPr>
            </w:pPr>
            <w:proofErr w:type="spellStart"/>
            <w:r w:rsidRPr="00AA5F9D">
              <w:rPr>
                <w:rFonts w:ascii="Helvetica" w:hAnsi="Helvetica"/>
                <w:sz w:val="20"/>
                <w:szCs w:val="20"/>
                <w:lang w:val="fr-FR" w:eastAsia="en-AU"/>
              </w:rPr>
              <w:t>D</w:t>
            </w:r>
            <w:r w:rsidRPr="00AA5F9D">
              <w:rPr>
                <w:rFonts w:ascii="Helvetica" w:hAnsi="Helvetica"/>
                <w:sz w:val="20"/>
                <w:szCs w:val="20"/>
                <w:vertAlign w:val="subscript"/>
                <w:lang w:val="fr-FR" w:eastAsia="en-AU"/>
              </w:rPr>
              <w:t>max</w:t>
            </w:r>
            <w:proofErr w:type="spellEnd"/>
            <w:r w:rsidRPr="00AA5F9D">
              <w:rPr>
                <w:rFonts w:ascii="Helvetica" w:hAnsi="Helvetica"/>
                <w:sz w:val="20"/>
                <w:szCs w:val="20"/>
                <w:lang w:val="fr-FR" w:eastAsia="en-AU"/>
              </w:rPr>
              <w:t>/D</w:t>
            </w:r>
            <w:r w:rsidRPr="00AA5F9D">
              <w:rPr>
                <w:rFonts w:ascii="Helvetica" w:hAnsi="Helvetica"/>
                <w:sz w:val="20"/>
                <w:szCs w:val="20"/>
                <w:vertAlign w:val="subscript"/>
                <w:lang w:val="fr-FR" w:eastAsia="en-AU"/>
              </w:rPr>
              <w:t>E</w:t>
            </w:r>
          </w:p>
        </w:tc>
        <w:tc>
          <w:tcPr>
            <w:tcW w:w="0" w:type="auto"/>
            <w:shd w:val="clear" w:color="auto" w:fill="auto"/>
          </w:tcPr>
          <w:p w14:paraId="66B204F3" w14:textId="77777777" w:rsidR="00AA5F9D" w:rsidRPr="00AA5F9D" w:rsidRDefault="00AA5F9D" w:rsidP="00B62085">
            <w:pPr>
              <w:adjustRightInd w:val="0"/>
              <w:snapToGrid w:val="0"/>
              <w:spacing w:after="0" w:line="240" w:lineRule="auto"/>
              <w:rPr>
                <w:rFonts w:ascii="Helvetica" w:hAnsi="Helvetica"/>
                <w:sz w:val="20"/>
                <w:szCs w:val="20"/>
                <w:lang w:val="fr-FR" w:eastAsia="en-AU"/>
              </w:rPr>
            </w:pPr>
            <w:r w:rsidRPr="00AA5F9D">
              <w:rPr>
                <w:rFonts w:ascii="Helvetica" w:hAnsi="Helvetica"/>
                <w:sz w:val="20"/>
                <w:szCs w:val="20"/>
                <w:lang w:val="fr-FR" w:eastAsia="en-AU"/>
              </w:rPr>
              <w:t>22.4</w:t>
            </w:r>
          </w:p>
        </w:tc>
      </w:tr>
      <w:tr w:rsidR="00AA5F9D" w:rsidRPr="00AA5F9D" w14:paraId="37E78100" w14:textId="77777777" w:rsidTr="00AA5F9D">
        <w:tc>
          <w:tcPr>
            <w:tcW w:w="0" w:type="auto"/>
            <w:shd w:val="clear" w:color="auto" w:fill="auto"/>
            <w:vAlign w:val="center"/>
          </w:tcPr>
          <w:p w14:paraId="59436BFD" w14:textId="77777777" w:rsidR="00AA5F9D" w:rsidRPr="00AA5F9D" w:rsidRDefault="00AA5F9D" w:rsidP="00B62085">
            <w:pPr>
              <w:adjustRightInd w:val="0"/>
              <w:snapToGrid w:val="0"/>
              <w:spacing w:after="0" w:line="240" w:lineRule="auto"/>
              <w:rPr>
                <w:rFonts w:ascii="Helvetica" w:hAnsi="Helvetica"/>
                <w:sz w:val="20"/>
                <w:szCs w:val="20"/>
                <w:lang w:val="fr-FR" w:eastAsia="en-AU"/>
              </w:rPr>
            </w:pPr>
            <w:proofErr w:type="spellStart"/>
            <w:r w:rsidRPr="00AA5F9D">
              <w:rPr>
                <w:rFonts w:ascii="Helvetica" w:hAnsi="Helvetica"/>
                <w:sz w:val="20"/>
                <w:szCs w:val="20"/>
                <w:lang w:val="fr-FR" w:eastAsia="en-AU"/>
              </w:rPr>
              <w:t>D</w:t>
            </w:r>
            <w:r w:rsidRPr="00AA5F9D">
              <w:rPr>
                <w:rFonts w:ascii="Helvetica" w:hAnsi="Helvetica"/>
                <w:sz w:val="20"/>
                <w:szCs w:val="20"/>
                <w:vertAlign w:val="subscript"/>
                <w:lang w:val="fr-FR" w:eastAsia="en-AU"/>
              </w:rPr>
              <w:t>max</w:t>
            </w:r>
            <w:proofErr w:type="spellEnd"/>
            <w:r w:rsidRPr="00AA5F9D">
              <w:rPr>
                <w:rFonts w:ascii="Helvetica" w:hAnsi="Helvetica"/>
                <w:sz w:val="20"/>
                <w:szCs w:val="20"/>
                <w:lang w:val="fr-FR" w:eastAsia="en-AU"/>
              </w:rPr>
              <w:t xml:space="preserve"> (Gy)</w:t>
            </w:r>
          </w:p>
        </w:tc>
        <w:tc>
          <w:tcPr>
            <w:tcW w:w="0" w:type="auto"/>
            <w:shd w:val="clear" w:color="auto" w:fill="auto"/>
          </w:tcPr>
          <w:p w14:paraId="0A92AC45" w14:textId="77777777" w:rsidR="00AA5F9D" w:rsidRPr="00AA5F9D" w:rsidRDefault="00AA5F9D" w:rsidP="00B62085">
            <w:pPr>
              <w:adjustRightInd w:val="0"/>
              <w:snapToGrid w:val="0"/>
              <w:spacing w:after="0" w:line="240" w:lineRule="auto"/>
              <w:rPr>
                <w:rFonts w:ascii="Helvetica" w:hAnsi="Helvetica"/>
                <w:sz w:val="20"/>
                <w:szCs w:val="20"/>
                <w:lang w:val="fr-FR" w:eastAsia="en-AU"/>
              </w:rPr>
            </w:pPr>
            <w:r w:rsidRPr="00AA5F9D">
              <w:rPr>
                <w:rFonts w:ascii="Helvetica" w:hAnsi="Helvetica"/>
                <w:sz w:val="20"/>
                <w:szCs w:val="20"/>
                <w:lang w:val="fr-FR" w:eastAsia="en-AU"/>
              </w:rPr>
              <w:t>488</w:t>
            </w:r>
          </w:p>
        </w:tc>
      </w:tr>
      <w:tr w:rsidR="00AA5F9D" w:rsidRPr="00AA5F9D" w14:paraId="4351454F" w14:textId="77777777" w:rsidTr="00AA5F9D">
        <w:tc>
          <w:tcPr>
            <w:tcW w:w="0" w:type="auto"/>
            <w:shd w:val="clear" w:color="auto" w:fill="auto"/>
            <w:vAlign w:val="center"/>
          </w:tcPr>
          <w:p w14:paraId="474C9DBD" w14:textId="77777777" w:rsidR="00AA5F9D" w:rsidRPr="00AA5F9D" w:rsidRDefault="00AA5F9D" w:rsidP="00B62085">
            <w:pPr>
              <w:adjustRightInd w:val="0"/>
              <w:snapToGrid w:val="0"/>
              <w:spacing w:after="0" w:line="240" w:lineRule="auto"/>
              <w:rPr>
                <w:rFonts w:ascii="Helvetica" w:hAnsi="Helvetica"/>
                <w:sz w:val="20"/>
                <w:szCs w:val="20"/>
                <w:lang w:val="fr-FR" w:eastAsia="en-AU"/>
              </w:rPr>
            </w:pPr>
            <w:r w:rsidRPr="00AA5F9D">
              <w:rPr>
                <w:rFonts w:ascii="Helvetica" w:hAnsi="Helvetica"/>
                <w:sz w:val="20"/>
                <w:szCs w:val="20"/>
                <w:lang w:val="fr-FR" w:eastAsia="en-AU"/>
              </w:rPr>
              <w:t>Adj. r-Square</w:t>
            </w:r>
          </w:p>
        </w:tc>
        <w:tc>
          <w:tcPr>
            <w:tcW w:w="0" w:type="auto"/>
            <w:shd w:val="clear" w:color="auto" w:fill="auto"/>
          </w:tcPr>
          <w:p w14:paraId="614C331A" w14:textId="77777777" w:rsidR="00AA5F9D" w:rsidRPr="00AA5F9D" w:rsidRDefault="00AA5F9D" w:rsidP="00B62085">
            <w:pPr>
              <w:adjustRightInd w:val="0"/>
              <w:snapToGrid w:val="0"/>
              <w:spacing w:after="0" w:line="240" w:lineRule="auto"/>
              <w:rPr>
                <w:rFonts w:ascii="Helvetica" w:hAnsi="Helvetica"/>
                <w:sz w:val="20"/>
                <w:szCs w:val="20"/>
                <w:lang w:val="fr-FR" w:eastAsia="en-AU"/>
              </w:rPr>
            </w:pPr>
            <w:r w:rsidRPr="00AA5F9D">
              <w:rPr>
                <w:rFonts w:ascii="Helvetica" w:hAnsi="Helvetica"/>
                <w:sz w:val="20"/>
                <w:szCs w:val="20"/>
                <w:lang w:val="fr-FR"/>
              </w:rPr>
              <w:t>0.999</w:t>
            </w:r>
          </w:p>
        </w:tc>
      </w:tr>
      <w:tr w:rsidR="00AA5F9D" w:rsidRPr="00AA5F9D" w14:paraId="54F79064" w14:textId="77777777" w:rsidTr="00AA5F9D">
        <w:tc>
          <w:tcPr>
            <w:tcW w:w="0" w:type="auto"/>
            <w:shd w:val="clear" w:color="auto" w:fill="auto"/>
            <w:vAlign w:val="center"/>
          </w:tcPr>
          <w:p w14:paraId="1FDCD1E0" w14:textId="77777777" w:rsidR="00AA5F9D" w:rsidRPr="00AA5F9D" w:rsidRDefault="00AA5F9D" w:rsidP="00B62085">
            <w:pPr>
              <w:adjustRightInd w:val="0"/>
              <w:snapToGrid w:val="0"/>
              <w:spacing w:after="0" w:line="240" w:lineRule="auto"/>
              <w:rPr>
                <w:rFonts w:ascii="Helvetica" w:hAnsi="Helvetica"/>
                <w:sz w:val="20"/>
                <w:szCs w:val="20"/>
                <w:lang w:val="fr-FR" w:eastAsia="en-AU"/>
              </w:rPr>
            </w:pPr>
            <w:r w:rsidRPr="00AA5F9D">
              <w:rPr>
                <w:rFonts w:ascii="Helvetica" w:hAnsi="Helvetica"/>
                <w:sz w:val="20"/>
                <w:szCs w:val="20"/>
                <w:lang w:val="fr-FR" w:eastAsia="en-AU"/>
              </w:rPr>
              <w:t>D</w:t>
            </w:r>
            <w:r w:rsidRPr="00AA5F9D">
              <w:rPr>
                <w:rFonts w:ascii="Helvetica" w:hAnsi="Helvetica"/>
                <w:sz w:val="20"/>
                <w:szCs w:val="20"/>
                <w:vertAlign w:val="subscript"/>
                <w:lang w:val="fr-FR" w:eastAsia="en-AU"/>
              </w:rPr>
              <w:t>E2</w:t>
            </w:r>
            <w:r w:rsidRPr="00AA5F9D">
              <w:rPr>
                <w:rFonts w:ascii="Helvetica" w:hAnsi="Helvetica"/>
                <w:sz w:val="20"/>
                <w:szCs w:val="20"/>
                <w:lang w:val="fr-FR" w:eastAsia="en-AU"/>
              </w:rPr>
              <w:t xml:space="preserve"> (Gy)</w:t>
            </w:r>
          </w:p>
        </w:tc>
        <w:tc>
          <w:tcPr>
            <w:tcW w:w="0" w:type="auto"/>
            <w:shd w:val="clear" w:color="auto" w:fill="auto"/>
          </w:tcPr>
          <w:p w14:paraId="756C409C" w14:textId="77777777" w:rsidR="00AA5F9D" w:rsidRPr="00AA5F9D" w:rsidRDefault="00AA5F9D" w:rsidP="00B62085">
            <w:pPr>
              <w:adjustRightInd w:val="0"/>
              <w:snapToGrid w:val="0"/>
              <w:spacing w:after="0" w:line="240" w:lineRule="auto"/>
              <w:rPr>
                <w:rFonts w:ascii="Helvetica" w:hAnsi="Helvetica"/>
                <w:sz w:val="20"/>
                <w:szCs w:val="20"/>
                <w:lang w:val="fr-FR" w:eastAsia="en-AU"/>
              </w:rPr>
            </w:pPr>
            <w:r w:rsidRPr="00AA5F9D">
              <w:rPr>
                <w:rFonts w:ascii="Helvetica" w:hAnsi="Helvetica"/>
                <w:sz w:val="20"/>
                <w:szCs w:val="20"/>
                <w:lang w:val="fr-FR"/>
              </w:rPr>
              <w:t xml:space="preserve">65.6 </w:t>
            </w:r>
            <w:r w:rsidRPr="00AA5F9D">
              <w:rPr>
                <w:rFonts w:ascii="Helvetica" w:hAnsi="Helvetica"/>
                <w:sz w:val="20"/>
                <w:szCs w:val="20"/>
                <w:lang w:val="fr-FR" w:eastAsia="en-AU"/>
              </w:rPr>
              <w:t>± 2.1</w:t>
            </w:r>
          </w:p>
        </w:tc>
      </w:tr>
      <w:tr w:rsidR="00AA5F9D" w:rsidRPr="00AA5F9D" w14:paraId="2603DD42" w14:textId="77777777" w:rsidTr="00AA5F9D">
        <w:tc>
          <w:tcPr>
            <w:tcW w:w="0" w:type="auto"/>
            <w:tcBorders>
              <w:bottom w:val="single" w:sz="4" w:space="0" w:color="auto"/>
            </w:tcBorders>
            <w:shd w:val="clear" w:color="auto" w:fill="auto"/>
            <w:vAlign w:val="center"/>
          </w:tcPr>
          <w:p w14:paraId="386B1F93" w14:textId="77777777" w:rsidR="00AA5F9D" w:rsidRPr="00AA5F9D" w:rsidRDefault="00AA5F9D" w:rsidP="00B62085">
            <w:pPr>
              <w:adjustRightInd w:val="0"/>
              <w:snapToGrid w:val="0"/>
              <w:spacing w:after="0" w:line="240" w:lineRule="auto"/>
              <w:rPr>
                <w:rFonts w:ascii="Helvetica" w:hAnsi="Helvetica"/>
                <w:sz w:val="20"/>
                <w:szCs w:val="20"/>
                <w:lang w:val="fr-FR" w:eastAsia="en-AU"/>
              </w:rPr>
            </w:pPr>
            <w:proofErr w:type="spellStart"/>
            <w:r w:rsidRPr="00AA5F9D">
              <w:rPr>
                <w:rFonts w:ascii="Helvetica" w:hAnsi="Helvetica"/>
                <w:sz w:val="20"/>
                <w:szCs w:val="20"/>
                <w:lang w:val="fr-FR" w:eastAsia="en-AU"/>
              </w:rPr>
              <w:t>D</w:t>
            </w:r>
            <w:r w:rsidRPr="00AA5F9D">
              <w:rPr>
                <w:rFonts w:ascii="Helvetica" w:hAnsi="Helvetica"/>
                <w:sz w:val="20"/>
                <w:szCs w:val="20"/>
                <w:vertAlign w:val="subscript"/>
                <w:lang w:val="fr-FR" w:eastAsia="en-AU"/>
              </w:rPr>
              <w:t>max</w:t>
            </w:r>
            <w:proofErr w:type="spellEnd"/>
            <w:r w:rsidRPr="00AA5F9D">
              <w:rPr>
                <w:rFonts w:ascii="Helvetica" w:hAnsi="Helvetica"/>
                <w:sz w:val="20"/>
                <w:szCs w:val="20"/>
                <w:lang w:val="fr-FR" w:eastAsia="en-AU"/>
              </w:rPr>
              <w:t>/D</w:t>
            </w:r>
            <w:r w:rsidRPr="00AA5F9D">
              <w:rPr>
                <w:rFonts w:ascii="Helvetica" w:hAnsi="Helvetica"/>
                <w:sz w:val="20"/>
                <w:szCs w:val="20"/>
                <w:vertAlign w:val="subscript"/>
                <w:lang w:val="fr-FR" w:eastAsia="en-AU"/>
              </w:rPr>
              <w:t>E2</w:t>
            </w:r>
          </w:p>
        </w:tc>
        <w:tc>
          <w:tcPr>
            <w:tcW w:w="0" w:type="auto"/>
            <w:tcBorders>
              <w:bottom w:val="single" w:sz="4" w:space="0" w:color="auto"/>
            </w:tcBorders>
            <w:shd w:val="clear" w:color="auto" w:fill="auto"/>
          </w:tcPr>
          <w:p w14:paraId="00A71CAE" w14:textId="77777777" w:rsidR="00AA5F9D" w:rsidRPr="00AA5F9D" w:rsidRDefault="00AA5F9D" w:rsidP="00B62085">
            <w:pPr>
              <w:adjustRightInd w:val="0"/>
              <w:snapToGrid w:val="0"/>
              <w:spacing w:after="0" w:line="240" w:lineRule="auto"/>
              <w:rPr>
                <w:rFonts w:ascii="Helvetica" w:hAnsi="Helvetica"/>
                <w:sz w:val="20"/>
                <w:szCs w:val="20"/>
                <w:lang w:val="fr-FR" w:eastAsia="en-AU"/>
              </w:rPr>
            </w:pPr>
            <w:r w:rsidRPr="00AA5F9D">
              <w:rPr>
                <w:rFonts w:ascii="Helvetica" w:hAnsi="Helvetica"/>
                <w:sz w:val="20"/>
                <w:szCs w:val="20"/>
                <w:lang w:val="fr-FR" w:eastAsia="en-AU"/>
              </w:rPr>
              <w:t>7.4</w:t>
            </w:r>
          </w:p>
        </w:tc>
      </w:tr>
      <w:tr w:rsidR="00AA5F9D" w:rsidRPr="00AA5F9D" w14:paraId="67BFC7D5" w14:textId="77777777" w:rsidTr="00AA5F9D">
        <w:tc>
          <w:tcPr>
            <w:tcW w:w="0" w:type="auto"/>
            <w:gridSpan w:val="2"/>
            <w:tcBorders>
              <w:top w:val="single" w:sz="4" w:space="0" w:color="auto"/>
              <w:bottom w:val="single" w:sz="4" w:space="0" w:color="auto"/>
            </w:tcBorders>
            <w:shd w:val="clear" w:color="auto" w:fill="auto"/>
          </w:tcPr>
          <w:p w14:paraId="7D4C0098"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lang w:val="fr-FR"/>
              </w:rPr>
              <w:t>Baseline-</w:t>
            </w:r>
            <w:proofErr w:type="spellStart"/>
            <w:r w:rsidRPr="00AA5F9D">
              <w:rPr>
                <w:rFonts w:ascii="Helvetica" w:hAnsi="Helvetica"/>
                <w:sz w:val="20"/>
                <w:szCs w:val="20"/>
                <w:lang w:val="fr-FR"/>
              </w:rPr>
              <w:t>corr</w:t>
            </w:r>
            <w:r w:rsidRPr="00AA5F9D">
              <w:rPr>
                <w:rFonts w:ascii="Helvetica" w:hAnsi="Helvetica"/>
                <w:sz w:val="20"/>
                <w:szCs w:val="20"/>
              </w:rPr>
              <w:t>ected</w:t>
            </w:r>
            <w:proofErr w:type="spellEnd"/>
            <w:r w:rsidRPr="00AA5F9D">
              <w:rPr>
                <w:rFonts w:ascii="Helvetica" w:hAnsi="Helvetica"/>
                <w:sz w:val="20"/>
                <w:szCs w:val="20"/>
              </w:rPr>
              <w:t xml:space="preserve"> ESR intensities</w:t>
            </w:r>
          </w:p>
        </w:tc>
      </w:tr>
      <w:tr w:rsidR="00AA5F9D" w:rsidRPr="00AA5F9D" w14:paraId="39BD04E1" w14:textId="77777777" w:rsidTr="00AA5F9D">
        <w:tc>
          <w:tcPr>
            <w:tcW w:w="0" w:type="auto"/>
            <w:tcBorders>
              <w:top w:val="single" w:sz="4" w:space="0" w:color="auto"/>
            </w:tcBorders>
            <w:shd w:val="clear" w:color="auto" w:fill="auto"/>
            <w:vAlign w:val="center"/>
          </w:tcPr>
          <w:p w14:paraId="43621B28" w14:textId="77777777" w:rsidR="00AA5F9D" w:rsidRPr="00AA5F9D" w:rsidRDefault="00AA5F9D" w:rsidP="00B62085">
            <w:pPr>
              <w:adjustRightInd w:val="0"/>
              <w:snapToGrid w:val="0"/>
              <w:spacing w:after="0" w:line="240" w:lineRule="auto"/>
              <w:rPr>
                <w:rFonts w:ascii="Helvetica" w:hAnsi="Helvetica"/>
                <w:sz w:val="20"/>
                <w:szCs w:val="20"/>
                <w:lang w:eastAsia="en-AU"/>
              </w:rPr>
            </w:pPr>
            <w:proofErr w:type="spellStart"/>
            <w:r w:rsidRPr="00AA5F9D">
              <w:rPr>
                <w:rFonts w:ascii="Helvetica" w:hAnsi="Helvetica"/>
                <w:sz w:val="20"/>
                <w:szCs w:val="20"/>
                <w:lang w:eastAsia="en-AU"/>
              </w:rPr>
              <w:t>D</w:t>
            </w:r>
            <w:r w:rsidRPr="00AA5F9D">
              <w:rPr>
                <w:rFonts w:ascii="Helvetica" w:hAnsi="Helvetica"/>
                <w:sz w:val="20"/>
                <w:szCs w:val="20"/>
                <w:vertAlign w:val="subscript"/>
                <w:lang w:eastAsia="en-AU"/>
              </w:rPr>
              <w:t>max</w:t>
            </w:r>
            <w:proofErr w:type="spellEnd"/>
            <w:r w:rsidRPr="00AA5F9D">
              <w:rPr>
                <w:rFonts w:ascii="Helvetica" w:hAnsi="Helvetica"/>
                <w:sz w:val="20"/>
                <w:szCs w:val="20"/>
                <w:lang w:eastAsia="en-AU"/>
              </w:rPr>
              <w:t xml:space="preserve"> (Gy)</w:t>
            </w:r>
          </w:p>
        </w:tc>
        <w:tc>
          <w:tcPr>
            <w:tcW w:w="0" w:type="auto"/>
            <w:tcBorders>
              <w:top w:val="single" w:sz="4" w:space="0" w:color="auto"/>
            </w:tcBorders>
            <w:shd w:val="clear" w:color="auto" w:fill="auto"/>
          </w:tcPr>
          <w:p w14:paraId="25B8B323"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val="fr-FR" w:eastAsia="en-AU"/>
              </w:rPr>
              <w:t>488</w:t>
            </w:r>
          </w:p>
        </w:tc>
      </w:tr>
      <w:tr w:rsidR="00AA5F9D" w:rsidRPr="00AA5F9D" w14:paraId="4B704130" w14:textId="77777777" w:rsidTr="00AA5F9D">
        <w:tc>
          <w:tcPr>
            <w:tcW w:w="0" w:type="auto"/>
            <w:shd w:val="clear" w:color="auto" w:fill="auto"/>
            <w:vAlign w:val="center"/>
          </w:tcPr>
          <w:p w14:paraId="23710A4D"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Adj. r-Square</w:t>
            </w:r>
          </w:p>
        </w:tc>
        <w:tc>
          <w:tcPr>
            <w:tcW w:w="0" w:type="auto"/>
            <w:shd w:val="clear" w:color="auto" w:fill="auto"/>
          </w:tcPr>
          <w:p w14:paraId="42A4E84A"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0.999</w:t>
            </w:r>
          </w:p>
        </w:tc>
      </w:tr>
      <w:tr w:rsidR="00AA5F9D" w:rsidRPr="00AA5F9D" w14:paraId="5CD94620" w14:textId="77777777" w:rsidTr="00AA5F9D">
        <w:tc>
          <w:tcPr>
            <w:tcW w:w="0" w:type="auto"/>
            <w:shd w:val="clear" w:color="auto" w:fill="auto"/>
            <w:vAlign w:val="center"/>
          </w:tcPr>
          <w:p w14:paraId="2C81B444"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D</w:t>
            </w:r>
            <w:r w:rsidRPr="00AA5F9D">
              <w:rPr>
                <w:rFonts w:ascii="Helvetica" w:hAnsi="Helvetica"/>
                <w:sz w:val="20"/>
                <w:szCs w:val="20"/>
                <w:vertAlign w:val="subscript"/>
                <w:lang w:eastAsia="en-AU"/>
              </w:rPr>
              <w:t>E3</w:t>
            </w:r>
            <w:r w:rsidRPr="00AA5F9D">
              <w:rPr>
                <w:rFonts w:ascii="Helvetica" w:hAnsi="Helvetica"/>
                <w:sz w:val="20"/>
                <w:szCs w:val="20"/>
                <w:lang w:eastAsia="en-AU"/>
              </w:rPr>
              <w:t xml:space="preserve"> (Gy)</w:t>
            </w:r>
          </w:p>
        </w:tc>
        <w:tc>
          <w:tcPr>
            <w:tcW w:w="0" w:type="auto"/>
            <w:shd w:val="clear" w:color="auto" w:fill="auto"/>
          </w:tcPr>
          <w:p w14:paraId="06ED68C7"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 xml:space="preserve">63.7 </w:t>
            </w:r>
            <w:r w:rsidRPr="00AA5F9D">
              <w:rPr>
                <w:rFonts w:ascii="Helvetica" w:hAnsi="Helvetica"/>
                <w:sz w:val="20"/>
                <w:szCs w:val="20"/>
                <w:lang w:eastAsia="en-AU"/>
              </w:rPr>
              <w:t>± 2.1</w:t>
            </w:r>
          </w:p>
        </w:tc>
      </w:tr>
      <w:tr w:rsidR="00AA5F9D" w:rsidRPr="00AA5F9D" w14:paraId="7024B3C3" w14:textId="77777777" w:rsidTr="00AA5F9D">
        <w:tc>
          <w:tcPr>
            <w:tcW w:w="0" w:type="auto"/>
            <w:tcBorders>
              <w:bottom w:val="single" w:sz="4" w:space="0" w:color="auto"/>
            </w:tcBorders>
            <w:shd w:val="clear" w:color="auto" w:fill="auto"/>
            <w:vAlign w:val="center"/>
          </w:tcPr>
          <w:p w14:paraId="16641D6F" w14:textId="77777777" w:rsidR="00AA5F9D" w:rsidRPr="00AA5F9D" w:rsidRDefault="00AA5F9D" w:rsidP="00B62085">
            <w:pPr>
              <w:adjustRightInd w:val="0"/>
              <w:snapToGrid w:val="0"/>
              <w:spacing w:after="0" w:line="240" w:lineRule="auto"/>
              <w:rPr>
                <w:rFonts w:ascii="Helvetica" w:hAnsi="Helvetica"/>
                <w:sz w:val="20"/>
                <w:szCs w:val="20"/>
                <w:lang w:eastAsia="en-AU"/>
              </w:rPr>
            </w:pPr>
            <w:proofErr w:type="spellStart"/>
            <w:r w:rsidRPr="00AA5F9D">
              <w:rPr>
                <w:rFonts w:ascii="Helvetica" w:hAnsi="Helvetica"/>
                <w:sz w:val="20"/>
                <w:szCs w:val="20"/>
                <w:lang w:eastAsia="en-AU"/>
              </w:rPr>
              <w:t>D</w:t>
            </w:r>
            <w:r w:rsidRPr="00AA5F9D">
              <w:rPr>
                <w:rFonts w:ascii="Helvetica" w:hAnsi="Helvetica"/>
                <w:sz w:val="20"/>
                <w:szCs w:val="20"/>
                <w:vertAlign w:val="subscript"/>
                <w:lang w:eastAsia="en-AU"/>
              </w:rPr>
              <w:t>max</w:t>
            </w:r>
            <w:proofErr w:type="spellEnd"/>
            <w:r w:rsidRPr="00AA5F9D">
              <w:rPr>
                <w:rFonts w:ascii="Helvetica" w:hAnsi="Helvetica"/>
                <w:sz w:val="20"/>
                <w:szCs w:val="20"/>
                <w:lang w:eastAsia="en-AU"/>
              </w:rPr>
              <w:t>/D</w:t>
            </w:r>
            <w:r w:rsidRPr="00AA5F9D">
              <w:rPr>
                <w:rFonts w:ascii="Helvetica" w:hAnsi="Helvetica"/>
                <w:sz w:val="20"/>
                <w:szCs w:val="20"/>
                <w:vertAlign w:val="subscript"/>
                <w:lang w:eastAsia="en-AU"/>
              </w:rPr>
              <w:t>E3</w:t>
            </w:r>
          </w:p>
        </w:tc>
        <w:tc>
          <w:tcPr>
            <w:tcW w:w="0" w:type="auto"/>
            <w:tcBorders>
              <w:bottom w:val="single" w:sz="4" w:space="0" w:color="auto"/>
            </w:tcBorders>
            <w:shd w:val="clear" w:color="auto" w:fill="auto"/>
          </w:tcPr>
          <w:p w14:paraId="19C9DCB4"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7.7</w:t>
            </w:r>
          </w:p>
        </w:tc>
      </w:tr>
      <w:tr w:rsidR="00AA5F9D" w:rsidRPr="00AA5F9D" w14:paraId="6FCCF800" w14:textId="77777777" w:rsidTr="00AA5F9D">
        <w:tc>
          <w:tcPr>
            <w:tcW w:w="0" w:type="auto"/>
            <w:gridSpan w:val="2"/>
            <w:tcBorders>
              <w:top w:val="single" w:sz="4" w:space="0" w:color="auto"/>
              <w:bottom w:val="single" w:sz="4" w:space="0" w:color="auto"/>
            </w:tcBorders>
            <w:shd w:val="clear" w:color="auto" w:fill="auto"/>
          </w:tcPr>
          <w:p w14:paraId="4B113FE4"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Baseline-corrected  and noise-subtracted ESR intensities</w:t>
            </w:r>
          </w:p>
        </w:tc>
      </w:tr>
      <w:tr w:rsidR="00AA5F9D" w:rsidRPr="00AA5F9D" w14:paraId="5F18A624" w14:textId="77777777" w:rsidTr="00AA5F9D">
        <w:tc>
          <w:tcPr>
            <w:tcW w:w="0" w:type="auto"/>
            <w:tcBorders>
              <w:top w:val="single" w:sz="4" w:space="0" w:color="auto"/>
            </w:tcBorders>
            <w:shd w:val="clear" w:color="auto" w:fill="auto"/>
            <w:vAlign w:val="center"/>
          </w:tcPr>
          <w:p w14:paraId="2553009A" w14:textId="77777777" w:rsidR="00AA5F9D" w:rsidRPr="00AA5F9D" w:rsidRDefault="00AA5F9D" w:rsidP="00B62085">
            <w:pPr>
              <w:adjustRightInd w:val="0"/>
              <w:snapToGrid w:val="0"/>
              <w:spacing w:after="0" w:line="240" w:lineRule="auto"/>
              <w:rPr>
                <w:rFonts w:ascii="Helvetica" w:hAnsi="Helvetica"/>
                <w:sz w:val="20"/>
                <w:szCs w:val="20"/>
                <w:lang w:eastAsia="en-AU"/>
              </w:rPr>
            </w:pPr>
            <w:proofErr w:type="spellStart"/>
            <w:r w:rsidRPr="00AA5F9D">
              <w:rPr>
                <w:rFonts w:ascii="Helvetica" w:hAnsi="Helvetica"/>
                <w:sz w:val="20"/>
                <w:szCs w:val="20"/>
                <w:lang w:eastAsia="en-AU"/>
              </w:rPr>
              <w:t>D</w:t>
            </w:r>
            <w:r w:rsidRPr="00AA5F9D">
              <w:rPr>
                <w:rFonts w:ascii="Helvetica" w:hAnsi="Helvetica"/>
                <w:sz w:val="20"/>
                <w:szCs w:val="20"/>
                <w:vertAlign w:val="subscript"/>
                <w:lang w:eastAsia="en-AU"/>
              </w:rPr>
              <w:t>max</w:t>
            </w:r>
            <w:proofErr w:type="spellEnd"/>
            <w:r w:rsidRPr="00AA5F9D">
              <w:rPr>
                <w:rFonts w:ascii="Helvetica" w:hAnsi="Helvetica"/>
                <w:sz w:val="20"/>
                <w:szCs w:val="20"/>
                <w:lang w:eastAsia="en-AU"/>
              </w:rPr>
              <w:t xml:space="preserve"> (Gy)</w:t>
            </w:r>
          </w:p>
        </w:tc>
        <w:tc>
          <w:tcPr>
            <w:tcW w:w="0" w:type="auto"/>
            <w:tcBorders>
              <w:top w:val="single" w:sz="4" w:space="0" w:color="auto"/>
            </w:tcBorders>
            <w:shd w:val="clear" w:color="auto" w:fill="auto"/>
          </w:tcPr>
          <w:p w14:paraId="7C4ADD4C"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488</w:t>
            </w:r>
          </w:p>
        </w:tc>
      </w:tr>
      <w:tr w:rsidR="00AA5F9D" w:rsidRPr="00AA5F9D" w14:paraId="0293399F" w14:textId="77777777" w:rsidTr="00AA5F9D">
        <w:tc>
          <w:tcPr>
            <w:tcW w:w="0" w:type="auto"/>
            <w:shd w:val="clear" w:color="auto" w:fill="auto"/>
            <w:vAlign w:val="center"/>
          </w:tcPr>
          <w:p w14:paraId="4FAAA4BE"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Adj. r-Square</w:t>
            </w:r>
          </w:p>
        </w:tc>
        <w:tc>
          <w:tcPr>
            <w:tcW w:w="0" w:type="auto"/>
            <w:shd w:val="clear" w:color="auto" w:fill="auto"/>
          </w:tcPr>
          <w:p w14:paraId="607EFBEA"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0.999</w:t>
            </w:r>
          </w:p>
        </w:tc>
      </w:tr>
      <w:tr w:rsidR="00AA5F9D" w:rsidRPr="00AA5F9D" w14:paraId="3F7E31D1" w14:textId="77777777" w:rsidTr="00AA5F9D">
        <w:tc>
          <w:tcPr>
            <w:tcW w:w="0" w:type="auto"/>
            <w:shd w:val="clear" w:color="auto" w:fill="auto"/>
            <w:vAlign w:val="center"/>
          </w:tcPr>
          <w:p w14:paraId="651634AB"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D</w:t>
            </w:r>
            <w:r w:rsidRPr="00AA5F9D">
              <w:rPr>
                <w:rFonts w:ascii="Helvetica" w:hAnsi="Helvetica"/>
                <w:sz w:val="20"/>
                <w:szCs w:val="20"/>
                <w:vertAlign w:val="subscript"/>
                <w:lang w:eastAsia="en-AU"/>
              </w:rPr>
              <w:t>E4</w:t>
            </w:r>
            <w:r w:rsidRPr="00AA5F9D">
              <w:rPr>
                <w:rFonts w:ascii="Helvetica" w:hAnsi="Helvetica"/>
                <w:sz w:val="20"/>
                <w:szCs w:val="20"/>
                <w:lang w:eastAsia="en-AU"/>
              </w:rPr>
              <w:t xml:space="preserve"> (Gy)</w:t>
            </w:r>
          </w:p>
        </w:tc>
        <w:tc>
          <w:tcPr>
            <w:tcW w:w="0" w:type="auto"/>
            <w:shd w:val="clear" w:color="auto" w:fill="auto"/>
          </w:tcPr>
          <w:p w14:paraId="1FEF6EE6"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 xml:space="preserve">61.8 </w:t>
            </w:r>
            <w:r w:rsidRPr="00AA5F9D">
              <w:rPr>
                <w:rFonts w:ascii="Helvetica" w:hAnsi="Helvetica"/>
                <w:sz w:val="20"/>
                <w:szCs w:val="20"/>
                <w:lang w:eastAsia="en-AU"/>
              </w:rPr>
              <w:t>± 2.1</w:t>
            </w:r>
          </w:p>
        </w:tc>
      </w:tr>
      <w:tr w:rsidR="00AA5F9D" w:rsidRPr="00AA5F9D" w14:paraId="19D04E2E" w14:textId="77777777" w:rsidTr="00AA5F9D">
        <w:tc>
          <w:tcPr>
            <w:tcW w:w="0" w:type="auto"/>
            <w:tcBorders>
              <w:bottom w:val="nil"/>
            </w:tcBorders>
            <w:shd w:val="clear" w:color="auto" w:fill="auto"/>
            <w:vAlign w:val="center"/>
          </w:tcPr>
          <w:p w14:paraId="6749E49B" w14:textId="77777777" w:rsidR="00AA5F9D" w:rsidRPr="00AA5F9D" w:rsidRDefault="00AA5F9D" w:rsidP="00B62085">
            <w:pPr>
              <w:adjustRightInd w:val="0"/>
              <w:snapToGrid w:val="0"/>
              <w:spacing w:after="0" w:line="240" w:lineRule="auto"/>
              <w:rPr>
                <w:rFonts w:ascii="Helvetica" w:hAnsi="Helvetica"/>
                <w:sz w:val="20"/>
                <w:szCs w:val="20"/>
                <w:lang w:eastAsia="en-AU"/>
              </w:rPr>
            </w:pPr>
            <w:proofErr w:type="spellStart"/>
            <w:r w:rsidRPr="00AA5F9D">
              <w:rPr>
                <w:rFonts w:ascii="Helvetica" w:hAnsi="Helvetica"/>
                <w:sz w:val="20"/>
                <w:szCs w:val="20"/>
                <w:lang w:eastAsia="en-AU"/>
              </w:rPr>
              <w:t>D</w:t>
            </w:r>
            <w:r w:rsidRPr="00AA5F9D">
              <w:rPr>
                <w:rFonts w:ascii="Helvetica" w:hAnsi="Helvetica"/>
                <w:sz w:val="20"/>
                <w:szCs w:val="20"/>
                <w:vertAlign w:val="subscript"/>
                <w:lang w:eastAsia="en-AU"/>
              </w:rPr>
              <w:t>max</w:t>
            </w:r>
            <w:proofErr w:type="spellEnd"/>
            <w:r w:rsidRPr="00AA5F9D">
              <w:rPr>
                <w:rFonts w:ascii="Helvetica" w:hAnsi="Helvetica"/>
                <w:sz w:val="20"/>
                <w:szCs w:val="20"/>
                <w:lang w:eastAsia="en-AU"/>
              </w:rPr>
              <w:t>/D</w:t>
            </w:r>
            <w:r w:rsidRPr="00AA5F9D">
              <w:rPr>
                <w:rFonts w:ascii="Helvetica" w:hAnsi="Helvetica"/>
                <w:sz w:val="20"/>
                <w:szCs w:val="20"/>
                <w:vertAlign w:val="subscript"/>
                <w:lang w:eastAsia="en-AU"/>
              </w:rPr>
              <w:t>E4</w:t>
            </w:r>
          </w:p>
        </w:tc>
        <w:tc>
          <w:tcPr>
            <w:tcW w:w="0" w:type="auto"/>
            <w:tcBorders>
              <w:bottom w:val="nil"/>
            </w:tcBorders>
            <w:shd w:val="clear" w:color="auto" w:fill="auto"/>
          </w:tcPr>
          <w:p w14:paraId="18D40BAB"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7.9</w:t>
            </w:r>
          </w:p>
        </w:tc>
      </w:tr>
      <w:tr w:rsidR="00AA5F9D" w:rsidRPr="00AA5F9D" w14:paraId="1A4CF475" w14:textId="77777777" w:rsidTr="00AA5F9D">
        <w:tc>
          <w:tcPr>
            <w:tcW w:w="0" w:type="auto"/>
            <w:gridSpan w:val="2"/>
            <w:tcBorders>
              <w:bottom w:val="single" w:sz="4" w:space="0" w:color="auto"/>
            </w:tcBorders>
            <w:shd w:val="clear" w:color="auto" w:fill="auto"/>
          </w:tcPr>
          <w:p w14:paraId="6753F0E2" w14:textId="77777777" w:rsidR="00AA5F9D" w:rsidRPr="00AA5F9D" w:rsidRDefault="00AA5F9D" w:rsidP="00B62085">
            <w:pPr>
              <w:adjustRightInd w:val="0"/>
              <w:snapToGrid w:val="0"/>
              <w:spacing w:after="0" w:line="240" w:lineRule="auto"/>
              <w:rPr>
                <w:rFonts w:ascii="Helvetica" w:hAnsi="Helvetica"/>
                <w:b/>
                <w:bCs/>
                <w:sz w:val="20"/>
                <w:szCs w:val="20"/>
                <w:lang w:eastAsia="en-AU"/>
              </w:rPr>
            </w:pPr>
            <w:r w:rsidRPr="00AA5F9D">
              <w:rPr>
                <w:rFonts w:ascii="Helvetica" w:hAnsi="Helvetica"/>
                <w:b/>
                <w:bCs/>
                <w:sz w:val="20"/>
                <w:szCs w:val="20"/>
              </w:rPr>
              <w:t>SSE fitting (data weighting by 1/s</w:t>
            </w:r>
            <w:r w:rsidRPr="00AA5F9D">
              <w:rPr>
                <w:rFonts w:ascii="Helvetica" w:hAnsi="Helvetica"/>
                <w:b/>
                <w:bCs/>
                <w:sz w:val="20"/>
                <w:szCs w:val="20"/>
                <w:vertAlign w:val="superscript"/>
              </w:rPr>
              <w:t>2</w:t>
            </w:r>
            <w:r w:rsidRPr="00AA5F9D">
              <w:rPr>
                <w:rFonts w:ascii="Helvetica" w:hAnsi="Helvetica"/>
                <w:b/>
                <w:bCs/>
                <w:sz w:val="20"/>
                <w:szCs w:val="20"/>
              </w:rPr>
              <w:t>)</w:t>
            </w:r>
          </w:p>
        </w:tc>
      </w:tr>
      <w:tr w:rsidR="00AA5F9D" w:rsidRPr="00AA5F9D" w14:paraId="7531A9D6" w14:textId="77777777" w:rsidTr="00AA5F9D">
        <w:tc>
          <w:tcPr>
            <w:tcW w:w="0" w:type="auto"/>
            <w:gridSpan w:val="2"/>
            <w:tcBorders>
              <w:top w:val="single" w:sz="4" w:space="0" w:color="auto"/>
              <w:bottom w:val="single" w:sz="4" w:space="0" w:color="auto"/>
            </w:tcBorders>
            <w:shd w:val="clear" w:color="auto" w:fill="auto"/>
          </w:tcPr>
          <w:p w14:paraId="154AE4A1" w14:textId="54EFB70B" w:rsidR="00AA5F9D" w:rsidRPr="00AA5F9D" w:rsidRDefault="00B249CF" w:rsidP="00B62085">
            <w:pPr>
              <w:adjustRightInd w:val="0"/>
              <w:snapToGrid w:val="0"/>
              <w:spacing w:after="0" w:line="240" w:lineRule="auto"/>
              <w:rPr>
                <w:rFonts w:ascii="Helvetica" w:hAnsi="Helvetica"/>
                <w:sz w:val="20"/>
                <w:szCs w:val="20"/>
                <w:lang w:eastAsia="en-AU"/>
              </w:rPr>
            </w:pPr>
            <w:r w:rsidRPr="00B249CF">
              <w:rPr>
                <w:rFonts w:ascii="Helvetica" w:hAnsi="Helvetica"/>
                <w:sz w:val="20"/>
                <w:szCs w:val="20"/>
              </w:rPr>
              <w:t>Baseline-</w:t>
            </w:r>
            <w:proofErr w:type="gramStart"/>
            <w:r w:rsidRPr="00B249CF">
              <w:rPr>
                <w:rFonts w:ascii="Helvetica" w:hAnsi="Helvetica"/>
                <w:sz w:val="20"/>
                <w:szCs w:val="20"/>
              </w:rPr>
              <w:t>corrected  and</w:t>
            </w:r>
            <w:proofErr w:type="gramEnd"/>
            <w:r w:rsidRPr="00B249CF">
              <w:rPr>
                <w:rFonts w:ascii="Helvetica" w:hAnsi="Helvetica"/>
                <w:sz w:val="20"/>
                <w:szCs w:val="20"/>
              </w:rPr>
              <w:t xml:space="preserve"> noise-subtracted ESR intensities</w:t>
            </w:r>
          </w:p>
        </w:tc>
      </w:tr>
      <w:tr w:rsidR="00AA5F9D" w:rsidRPr="00AA5F9D" w14:paraId="426A305D" w14:textId="77777777" w:rsidTr="00AA5F9D">
        <w:tc>
          <w:tcPr>
            <w:tcW w:w="0" w:type="auto"/>
            <w:tcBorders>
              <w:top w:val="single" w:sz="4" w:space="0" w:color="auto"/>
            </w:tcBorders>
            <w:shd w:val="clear" w:color="auto" w:fill="auto"/>
            <w:vAlign w:val="center"/>
          </w:tcPr>
          <w:p w14:paraId="0D4D5D2C" w14:textId="77777777" w:rsidR="00AA5F9D" w:rsidRPr="00AA5F9D" w:rsidRDefault="00AA5F9D" w:rsidP="00B62085">
            <w:pPr>
              <w:adjustRightInd w:val="0"/>
              <w:snapToGrid w:val="0"/>
              <w:spacing w:after="0" w:line="240" w:lineRule="auto"/>
              <w:rPr>
                <w:rFonts w:ascii="Helvetica" w:hAnsi="Helvetica"/>
                <w:sz w:val="20"/>
                <w:szCs w:val="20"/>
                <w:lang w:eastAsia="en-AU"/>
              </w:rPr>
            </w:pPr>
            <w:proofErr w:type="spellStart"/>
            <w:r w:rsidRPr="00AA5F9D">
              <w:rPr>
                <w:rFonts w:ascii="Helvetica" w:hAnsi="Helvetica"/>
                <w:sz w:val="20"/>
                <w:szCs w:val="20"/>
                <w:lang w:eastAsia="en-AU"/>
              </w:rPr>
              <w:t>D</w:t>
            </w:r>
            <w:r w:rsidRPr="00AA5F9D">
              <w:rPr>
                <w:rFonts w:ascii="Helvetica" w:hAnsi="Helvetica"/>
                <w:sz w:val="20"/>
                <w:szCs w:val="20"/>
                <w:vertAlign w:val="subscript"/>
                <w:lang w:eastAsia="en-AU"/>
              </w:rPr>
              <w:t>max</w:t>
            </w:r>
            <w:proofErr w:type="spellEnd"/>
            <w:r w:rsidRPr="00AA5F9D">
              <w:rPr>
                <w:rFonts w:ascii="Helvetica" w:hAnsi="Helvetica"/>
                <w:sz w:val="20"/>
                <w:szCs w:val="20"/>
                <w:lang w:eastAsia="en-AU"/>
              </w:rPr>
              <w:t xml:space="preserve"> (Gy)</w:t>
            </w:r>
          </w:p>
        </w:tc>
        <w:tc>
          <w:tcPr>
            <w:tcW w:w="0" w:type="auto"/>
            <w:tcBorders>
              <w:top w:val="single" w:sz="4" w:space="0" w:color="auto"/>
            </w:tcBorders>
            <w:shd w:val="clear" w:color="auto" w:fill="auto"/>
          </w:tcPr>
          <w:p w14:paraId="6BFC2026"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488</w:t>
            </w:r>
          </w:p>
        </w:tc>
      </w:tr>
      <w:tr w:rsidR="00AA5F9D" w:rsidRPr="00AA5F9D" w14:paraId="191FBA9A" w14:textId="77777777" w:rsidTr="00AA5F9D">
        <w:tc>
          <w:tcPr>
            <w:tcW w:w="0" w:type="auto"/>
            <w:shd w:val="clear" w:color="auto" w:fill="auto"/>
            <w:vAlign w:val="center"/>
          </w:tcPr>
          <w:p w14:paraId="7ECE4276"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Adj. r-Square</w:t>
            </w:r>
          </w:p>
        </w:tc>
        <w:tc>
          <w:tcPr>
            <w:tcW w:w="0" w:type="auto"/>
            <w:shd w:val="clear" w:color="auto" w:fill="auto"/>
          </w:tcPr>
          <w:p w14:paraId="49D8B189"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0.999</w:t>
            </w:r>
          </w:p>
        </w:tc>
      </w:tr>
      <w:tr w:rsidR="00AA5F9D" w:rsidRPr="00AA5F9D" w14:paraId="5E7BA52A" w14:textId="77777777" w:rsidTr="00AA5F9D">
        <w:tc>
          <w:tcPr>
            <w:tcW w:w="0" w:type="auto"/>
            <w:shd w:val="clear" w:color="auto" w:fill="auto"/>
            <w:vAlign w:val="center"/>
          </w:tcPr>
          <w:p w14:paraId="714653A6"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D</w:t>
            </w:r>
            <w:r w:rsidRPr="00AA5F9D">
              <w:rPr>
                <w:rFonts w:ascii="Helvetica" w:hAnsi="Helvetica"/>
                <w:sz w:val="20"/>
                <w:szCs w:val="20"/>
                <w:vertAlign w:val="subscript"/>
                <w:lang w:eastAsia="en-AU"/>
              </w:rPr>
              <w:t>E5</w:t>
            </w:r>
            <w:r w:rsidRPr="00AA5F9D">
              <w:rPr>
                <w:rFonts w:ascii="Helvetica" w:hAnsi="Helvetica"/>
                <w:sz w:val="20"/>
                <w:szCs w:val="20"/>
                <w:lang w:eastAsia="en-AU"/>
              </w:rPr>
              <w:t xml:space="preserve"> (Gy)</w:t>
            </w:r>
          </w:p>
        </w:tc>
        <w:tc>
          <w:tcPr>
            <w:tcW w:w="0" w:type="auto"/>
            <w:shd w:val="clear" w:color="auto" w:fill="auto"/>
          </w:tcPr>
          <w:p w14:paraId="3203FFDE"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 xml:space="preserve">62.7 </w:t>
            </w:r>
            <w:r w:rsidRPr="00AA5F9D">
              <w:rPr>
                <w:rFonts w:ascii="Helvetica" w:hAnsi="Helvetica"/>
                <w:sz w:val="20"/>
                <w:szCs w:val="20"/>
                <w:lang w:eastAsia="en-AU"/>
              </w:rPr>
              <w:t>± 2.7</w:t>
            </w:r>
          </w:p>
        </w:tc>
      </w:tr>
      <w:tr w:rsidR="00AA5F9D" w:rsidRPr="00AA5F9D" w14:paraId="551A3E65" w14:textId="77777777" w:rsidTr="00AA5F9D">
        <w:tc>
          <w:tcPr>
            <w:tcW w:w="0" w:type="auto"/>
            <w:tcBorders>
              <w:bottom w:val="single" w:sz="4" w:space="0" w:color="auto"/>
            </w:tcBorders>
            <w:shd w:val="clear" w:color="auto" w:fill="auto"/>
            <w:vAlign w:val="center"/>
          </w:tcPr>
          <w:p w14:paraId="487C1AF8" w14:textId="77777777" w:rsidR="00AA5F9D" w:rsidRPr="00AA5F9D" w:rsidRDefault="00AA5F9D" w:rsidP="00B62085">
            <w:pPr>
              <w:adjustRightInd w:val="0"/>
              <w:snapToGrid w:val="0"/>
              <w:spacing w:after="0" w:line="240" w:lineRule="auto"/>
              <w:rPr>
                <w:rFonts w:ascii="Helvetica" w:hAnsi="Helvetica"/>
                <w:sz w:val="20"/>
                <w:szCs w:val="20"/>
                <w:lang w:eastAsia="en-AU"/>
              </w:rPr>
            </w:pPr>
            <w:proofErr w:type="spellStart"/>
            <w:r w:rsidRPr="00AA5F9D">
              <w:rPr>
                <w:rFonts w:ascii="Helvetica" w:hAnsi="Helvetica"/>
                <w:sz w:val="20"/>
                <w:szCs w:val="20"/>
                <w:lang w:eastAsia="en-AU"/>
              </w:rPr>
              <w:t>D</w:t>
            </w:r>
            <w:r w:rsidRPr="00AA5F9D">
              <w:rPr>
                <w:rFonts w:ascii="Helvetica" w:hAnsi="Helvetica"/>
                <w:sz w:val="20"/>
                <w:szCs w:val="20"/>
                <w:vertAlign w:val="subscript"/>
                <w:lang w:eastAsia="en-AU"/>
              </w:rPr>
              <w:t>max</w:t>
            </w:r>
            <w:proofErr w:type="spellEnd"/>
            <w:r w:rsidRPr="00AA5F9D">
              <w:rPr>
                <w:rFonts w:ascii="Helvetica" w:hAnsi="Helvetica"/>
                <w:sz w:val="20"/>
                <w:szCs w:val="20"/>
                <w:lang w:eastAsia="en-AU"/>
              </w:rPr>
              <w:t>/D</w:t>
            </w:r>
            <w:r w:rsidRPr="00AA5F9D">
              <w:rPr>
                <w:rFonts w:ascii="Helvetica" w:hAnsi="Helvetica"/>
                <w:sz w:val="20"/>
                <w:szCs w:val="20"/>
                <w:vertAlign w:val="subscript"/>
                <w:lang w:eastAsia="en-AU"/>
              </w:rPr>
              <w:t>E5</w:t>
            </w:r>
          </w:p>
        </w:tc>
        <w:tc>
          <w:tcPr>
            <w:tcW w:w="0" w:type="auto"/>
            <w:tcBorders>
              <w:bottom w:val="single" w:sz="4" w:space="0" w:color="auto"/>
            </w:tcBorders>
            <w:shd w:val="clear" w:color="auto" w:fill="auto"/>
          </w:tcPr>
          <w:p w14:paraId="5C236659"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7.8</w:t>
            </w:r>
          </w:p>
        </w:tc>
      </w:tr>
      <w:tr w:rsidR="00AA5F9D" w:rsidRPr="00AA5F9D" w14:paraId="10FD1719" w14:textId="77777777" w:rsidTr="00AA5F9D">
        <w:tc>
          <w:tcPr>
            <w:tcW w:w="0" w:type="auto"/>
            <w:gridSpan w:val="2"/>
            <w:tcBorders>
              <w:top w:val="single" w:sz="4" w:space="0" w:color="auto"/>
              <w:bottom w:val="single" w:sz="4" w:space="0" w:color="auto"/>
            </w:tcBorders>
            <w:shd w:val="clear" w:color="auto" w:fill="auto"/>
          </w:tcPr>
          <w:p w14:paraId="6AD88F44" w14:textId="77777777" w:rsidR="00AA5F9D" w:rsidRPr="00AA5F9D" w:rsidRDefault="00AA5F9D" w:rsidP="00B62085">
            <w:pPr>
              <w:adjustRightInd w:val="0"/>
              <w:snapToGrid w:val="0"/>
              <w:spacing w:after="0" w:line="240" w:lineRule="auto"/>
              <w:rPr>
                <w:rFonts w:ascii="Helvetica" w:hAnsi="Helvetica"/>
                <w:b/>
                <w:bCs/>
                <w:sz w:val="20"/>
                <w:szCs w:val="20"/>
                <w:lang w:eastAsia="en-AU"/>
              </w:rPr>
            </w:pPr>
            <w:r w:rsidRPr="00AA5F9D">
              <w:rPr>
                <w:rFonts w:ascii="Helvetica" w:hAnsi="Helvetica"/>
                <w:b/>
                <w:bCs/>
                <w:sz w:val="20"/>
                <w:szCs w:val="20"/>
                <w:lang w:eastAsia="en-AU"/>
              </w:rPr>
              <w:t>D</w:t>
            </w:r>
            <w:r w:rsidRPr="00AA5F9D">
              <w:rPr>
                <w:rFonts w:ascii="Helvetica" w:hAnsi="Helvetica"/>
                <w:b/>
                <w:bCs/>
                <w:sz w:val="20"/>
                <w:szCs w:val="20"/>
                <w:vertAlign w:val="subscript"/>
                <w:lang w:eastAsia="en-AU"/>
              </w:rPr>
              <w:t>E</w:t>
            </w:r>
            <w:r w:rsidRPr="00AA5F9D">
              <w:rPr>
                <w:rFonts w:ascii="Helvetica" w:hAnsi="Helvetica"/>
                <w:b/>
                <w:bCs/>
                <w:sz w:val="20"/>
                <w:szCs w:val="20"/>
                <w:lang w:eastAsia="en-AU"/>
              </w:rPr>
              <w:t xml:space="preserve"> ratios</w:t>
            </w:r>
          </w:p>
        </w:tc>
      </w:tr>
      <w:tr w:rsidR="00AA5F9D" w:rsidRPr="00AA5F9D" w14:paraId="336A9C76" w14:textId="77777777" w:rsidTr="00AA5F9D">
        <w:tc>
          <w:tcPr>
            <w:tcW w:w="0" w:type="auto"/>
            <w:tcBorders>
              <w:top w:val="single" w:sz="4" w:space="0" w:color="auto"/>
            </w:tcBorders>
            <w:shd w:val="clear" w:color="auto" w:fill="auto"/>
            <w:vAlign w:val="center"/>
          </w:tcPr>
          <w:p w14:paraId="586BC311"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D</w:t>
            </w:r>
            <w:r w:rsidRPr="00AA5F9D">
              <w:rPr>
                <w:rFonts w:ascii="Helvetica" w:hAnsi="Helvetica"/>
                <w:sz w:val="20"/>
                <w:szCs w:val="20"/>
                <w:vertAlign w:val="subscript"/>
                <w:lang w:eastAsia="en-AU"/>
              </w:rPr>
              <w:t>E2</w:t>
            </w:r>
            <w:r w:rsidRPr="00AA5F9D">
              <w:rPr>
                <w:rFonts w:ascii="Helvetica" w:hAnsi="Helvetica"/>
                <w:sz w:val="20"/>
                <w:szCs w:val="20"/>
                <w:lang w:eastAsia="en-AU"/>
              </w:rPr>
              <w:t>/D</w:t>
            </w:r>
            <w:r w:rsidRPr="00AA5F9D">
              <w:rPr>
                <w:rFonts w:ascii="Helvetica" w:hAnsi="Helvetica"/>
                <w:sz w:val="20"/>
                <w:szCs w:val="20"/>
                <w:vertAlign w:val="subscript"/>
                <w:lang w:eastAsia="en-AU"/>
              </w:rPr>
              <w:t xml:space="preserve">E1 </w:t>
            </w:r>
            <w:r w:rsidRPr="00AA5F9D">
              <w:rPr>
                <w:rFonts w:ascii="Helvetica" w:hAnsi="Helvetica"/>
                <w:sz w:val="20"/>
                <w:szCs w:val="20"/>
                <w:lang w:eastAsia="en-AU"/>
              </w:rPr>
              <w:t>ratio</w:t>
            </w:r>
          </w:p>
        </w:tc>
        <w:tc>
          <w:tcPr>
            <w:tcW w:w="0" w:type="auto"/>
            <w:tcBorders>
              <w:top w:val="single" w:sz="4" w:space="0" w:color="auto"/>
            </w:tcBorders>
            <w:shd w:val="clear" w:color="auto" w:fill="auto"/>
          </w:tcPr>
          <w:p w14:paraId="39274ABA"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rPr>
              <w:t>1.01</w:t>
            </w:r>
          </w:p>
        </w:tc>
      </w:tr>
      <w:tr w:rsidR="00AA5F9D" w:rsidRPr="00AA5F9D" w14:paraId="5263AF7D" w14:textId="77777777" w:rsidTr="00AA5F9D">
        <w:tc>
          <w:tcPr>
            <w:tcW w:w="0" w:type="auto"/>
            <w:shd w:val="clear" w:color="auto" w:fill="auto"/>
            <w:vAlign w:val="center"/>
          </w:tcPr>
          <w:p w14:paraId="1C011B02"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D</w:t>
            </w:r>
            <w:r w:rsidRPr="00AA5F9D">
              <w:rPr>
                <w:rFonts w:ascii="Helvetica" w:hAnsi="Helvetica"/>
                <w:sz w:val="20"/>
                <w:szCs w:val="20"/>
                <w:vertAlign w:val="subscript"/>
                <w:lang w:eastAsia="en-AU"/>
              </w:rPr>
              <w:t>E3</w:t>
            </w:r>
            <w:r w:rsidRPr="00AA5F9D">
              <w:rPr>
                <w:rFonts w:ascii="Helvetica" w:hAnsi="Helvetica"/>
                <w:sz w:val="20"/>
                <w:szCs w:val="20"/>
                <w:lang w:eastAsia="en-AU"/>
              </w:rPr>
              <w:t>/D</w:t>
            </w:r>
            <w:r w:rsidRPr="00AA5F9D">
              <w:rPr>
                <w:rFonts w:ascii="Helvetica" w:hAnsi="Helvetica"/>
                <w:sz w:val="20"/>
                <w:szCs w:val="20"/>
                <w:vertAlign w:val="subscript"/>
                <w:lang w:eastAsia="en-AU"/>
              </w:rPr>
              <w:t xml:space="preserve">E2 </w:t>
            </w:r>
            <w:r w:rsidRPr="00AA5F9D">
              <w:rPr>
                <w:rFonts w:ascii="Helvetica" w:hAnsi="Helvetica"/>
                <w:sz w:val="20"/>
                <w:szCs w:val="20"/>
                <w:lang w:eastAsia="en-AU"/>
              </w:rPr>
              <w:t>ratio</w:t>
            </w:r>
          </w:p>
        </w:tc>
        <w:tc>
          <w:tcPr>
            <w:tcW w:w="0" w:type="auto"/>
            <w:shd w:val="clear" w:color="auto" w:fill="auto"/>
          </w:tcPr>
          <w:p w14:paraId="7175E1C8"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rPr>
              <w:t>0.97</w:t>
            </w:r>
          </w:p>
        </w:tc>
      </w:tr>
      <w:tr w:rsidR="00AA5F9D" w:rsidRPr="00AA5F9D" w14:paraId="743107A9" w14:textId="77777777" w:rsidTr="00AA5F9D">
        <w:tc>
          <w:tcPr>
            <w:tcW w:w="0" w:type="auto"/>
            <w:shd w:val="clear" w:color="auto" w:fill="auto"/>
            <w:vAlign w:val="center"/>
          </w:tcPr>
          <w:p w14:paraId="55503596"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D</w:t>
            </w:r>
            <w:r w:rsidRPr="00AA5F9D">
              <w:rPr>
                <w:rFonts w:ascii="Helvetica" w:hAnsi="Helvetica"/>
                <w:sz w:val="20"/>
                <w:szCs w:val="20"/>
                <w:vertAlign w:val="subscript"/>
                <w:lang w:eastAsia="en-AU"/>
              </w:rPr>
              <w:t>E4</w:t>
            </w:r>
            <w:r w:rsidRPr="00AA5F9D">
              <w:rPr>
                <w:rFonts w:ascii="Helvetica" w:hAnsi="Helvetica"/>
                <w:sz w:val="20"/>
                <w:szCs w:val="20"/>
                <w:lang w:eastAsia="en-AU"/>
              </w:rPr>
              <w:t>/D</w:t>
            </w:r>
            <w:r w:rsidRPr="00AA5F9D">
              <w:rPr>
                <w:rFonts w:ascii="Helvetica" w:hAnsi="Helvetica"/>
                <w:sz w:val="20"/>
                <w:szCs w:val="20"/>
                <w:vertAlign w:val="subscript"/>
                <w:lang w:eastAsia="en-AU"/>
              </w:rPr>
              <w:t xml:space="preserve">E3 </w:t>
            </w:r>
            <w:r w:rsidRPr="00AA5F9D">
              <w:rPr>
                <w:rFonts w:ascii="Helvetica" w:hAnsi="Helvetica"/>
                <w:sz w:val="20"/>
                <w:szCs w:val="20"/>
                <w:lang w:eastAsia="en-AU"/>
              </w:rPr>
              <w:t>ratio</w:t>
            </w:r>
          </w:p>
        </w:tc>
        <w:tc>
          <w:tcPr>
            <w:tcW w:w="0" w:type="auto"/>
            <w:shd w:val="clear" w:color="auto" w:fill="auto"/>
          </w:tcPr>
          <w:p w14:paraId="012499E8"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rPr>
              <w:t>0.97</w:t>
            </w:r>
          </w:p>
        </w:tc>
      </w:tr>
      <w:tr w:rsidR="00AA5F9D" w:rsidRPr="00AA5F9D" w14:paraId="2A7569B0" w14:textId="77777777" w:rsidTr="00AA5F9D">
        <w:tc>
          <w:tcPr>
            <w:tcW w:w="0" w:type="auto"/>
            <w:shd w:val="clear" w:color="auto" w:fill="auto"/>
            <w:vAlign w:val="center"/>
          </w:tcPr>
          <w:p w14:paraId="17FFC8F2" w14:textId="77777777" w:rsidR="00AA5F9D" w:rsidRPr="00AA5F9D" w:rsidRDefault="00AA5F9D"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D</w:t>
            </w:r>
            <w:r w:rsidRPr="00AA5F9D">
              <w:rPr>
                <w:rFonts w:ascii="Helvetica" w:hAnsi="Helvetica"/>
                <w:sz w:val="20"/>
                <w:szCs w:val="20"/>
                <w:vertAlign w:val="subscript"/>
                <w:lang w:eastAsia="en-AU"/>
              </w:rPr>
              <w:t>E5</w:t>
            </w:r>
            <w:r w:rsidRPr="00AA5F9D">
              <w:rPr>
                <w:rFonts w:ascii="Helvetica" w:hAnsi="Helvetica"/>
                <w:sz w:val="20"/>
                <w:szCs w:val="20"/>
                <w:lang w:eastAsia="en-AU"/>
              </w:rPr>
              <w:t>/D</w:t>
            </w:r>
            <w:r w:rsidRPr="00AA5F9D">
              <w:rPr>
                <w:rFonts w:ascii="Helvetica" w:hAnsi="Helvetica"/>
                <w:sz w:val="20"/>
                <w:szCs w:val="20"/>
                <w:vertAlign w:val="subscript"/>
                <w:lang w:eastAsia="en-AU"/>
              </w:rPr>
              <w:t xml:space="preserve">E4 </w:t>
            </w:r>
            <w:r w:rsidRPr="00AA5F9D">
              <w:rPr>
                <w:rFonts w:ascii="Helvetica" w:hAnsi="Helvetica"/>
                <w:sz w:val="20"/>
                <w:szCs w:val="20"/>
                <w:lang w:eastAsia="en-AU"/>
              </w:rPr>
              <w:t>ratio</w:t>
            </w:r>
          </w:p>
        </w:tc>
        <w:tc>
          <w:tcPr>
            <w:tcW w:w="0" w:type="auto"/>
            <w:shd w:val="clear" w:color="auto" w:fill="auto"/>
          </w:tcPr>
          <w:p w14:paraId="4ACCB62B" w14:textId="77777777" w:rsidR="00AA5F9D" w:rsidRPr="00AA5F9D" w:rsidRDefault="00AA5F9D" w:rsidP="00B62085">
            <w:pPr>
              <w:adjustRightInd w:val="0"/>
              <w:snapToGrid w:val="0"/>
              <w:spacing w:after="0" w:line="240" w:lineRule="auto"/>
              <w:rPr>
                <w:rFonts w:ascii="Helvetica" w:hAnsi="Helvetica"/>
                <w:sz w:val="20"/>
                <w:szCs w:val="20"/>
              </w:rPr>
            </w:pPr>
            <w:r w:rsidRPr="00AA5F9D">
              <w:rPr>
                <w:rFonts w:ascii="Helvetica" w:hAnsi="Helvetica"/>
                <w:sz w:val="20"/>
                <w:szCs w:val="20"/>
              </w:rPr>
              <w:t>1.01</w:t>
            </w:r>
          </w:p>
        </w:tc>
      </w:tr>
    </w:tbl>
    <w:p w14:paraId="134C44DC" w14:textId="77777777" w:rsidR="00AA5F9D" w:rsidRDefault="00AA5F9D" w:rsidP="00B94AB1">
      <w:pPr>
        <w:spacing w:line="240" w:lineRule="auto"/>
        <w:rPr>
          <w:b/>
          <w:bCs/>
          <w:lang w:val="it-IT"/>
        </w:rPr>
      </w:pPr>
      <w:r w:rsidRPr="00AA5F9D">
        <w:rPr>
          <w:b/>
          <w:bCs/>
          <w:lang w:val="it-IT"/>
        </w:rPr>
        <w:t xml:space="preserve"> </w:t>
      </w:r>
    </w:p>
    <w:p w14:paraId="72392896" w14:textId="77777777" w:rsidR="00AA5F9D" w:rsidRDefault="00AA5F9D" w:rsidP="00B94AB1">
      <w:pPr>
        <w:spacing w:line="240" w:lineRule="auto"/>
        <w:rPr>
          <w:b/>
          <w:bCs/>
          <w:lang w:val="it-IT"/>
        </w:rPr>
      </w:pPr>
    </w:p>
    <w:p w14:paraId="66B21026" w14:textId="77777777" w:rsidR="00AA5F9D" w:rsidRDefault="00AA5F9D" w:rsidP="00B94AB1">
      <w:pPr>
        <w:spacing w:line="240" w:lineRule="auto"/>
        <w:rPr>
          <w:b/>
          <w:bCs/>
          <w:lang w:val="it-IT"/>
        </w:rPr>
      </w:pPr>
    </w:p>
    <w:p w14:paraId="3C0287E5" w14:textId="77777777" w:rsidR="00AA5F9D" w:rsidRDefault="00AA5F9D" w:rsidP="00B94AB1">
      <w:pPr>
        <w:spacing w:line="240" w:lineRule="auto"/>
        <w:rPr>
          <w:b/>
          <w:bCs/>
          <w:lang w:val="it-IT"/>
        </w:rPr>
      </w:pPr>
    </w:p>
    <w:p w14:paraId="2C908CBD" w14:textId="05A04C73" w:rsidR="00275FA8" w:rsidRDefault="00275FA8">
      <w:pPr>
        <w:rPr>
          <w:b/>
          <w:bCs/>
          <w:lang w:val="it-IT"/>
        </w:rPr>
      </w:pPr>
      <w:r>
        <w:rPr>
          <w:b/>
          <w:bCs/>
          <w:lang w:val="it-IT"/>
        </w:rPr>
        <w:br w:type="page"/>
      </w:r>
    </w:p>
    <w:p w14:paraId="75246E95" w14:textId="189C8F38" w:rsidR="00573608" w:rsidRPr="00AA5F9D" w:rsidRDefault="00573608" w:rsidP="00B94AB1">
      <w:pPr>
        <w:spacing w:line="240" w:lineRule="auto"/>
        <w:rPr>
          <w:b/>
          <w:bCs/>
          <w:lang w:val="it-IT"/>
        </w:rPr>
      </w:pPr>
      <w:r w:rsidRPr="00AA5F9D">
        <w:rPr>
          <w:b/>
          <w:bCs/>
          <w:lang w:val="it-IT"/>
        </w:rPr>
        <w:lastRenderedPageBreak/>
        <w:t>Table S2</w:t>
      </w:r>
      <w:r w:rsidRPr="00AA5F9D">
        <w:rPr>
          <w:lang w:val="it-IT"/>
        </w:rPr>
        <w:t xml:space="preserve">. </w:t>
      </w:r>
      <w:r w:rsidRPr="00AA5F9D">
        <w:t xml:space="preserve">U-series data obtained from solution ICP-MS analyses of the powdered dental tissues. The activity ratios enclosed in parentheses are derived from atomic ratios but normalised to measured values of secular-equilibrium HU-1 (Ludwig et al. 1992); errors are indicated at the 2σ level. Calculations of </w:t>
      </w:r>
      <w:r w:rsidRPr="00AA5F9D">
        <w:rPr>
          <w:vertAlign w:val="superscript"/>
        </w:rPr>
        <w:t>230</w:t>
      </w:r>
      <w:r w:rsidRPr="00AA5F9D">
        <w:t xml:space="preserve">Th ages were conducted using </w:t>
      </w:r>
      <w:proofErr w:type="spellStart"/>
      <w:r w:rsidRPr="00AA5F9D">
        <w:t>Isoplot</w:t>
      </w:r>
      <w:proofErr w:type="spellEnd"/>
      <w:r w:rsidRPr="00AA5F9D">
        <w:t xml:space="preserve"> EX 3.0 (Ludwig 2003), with specific decay constants provided for </w:t>
      </w:r>
      <w:r w:rsidRPr="00AA5F9D">
        <w:rPr>
          <w:vertAlign w:val="superscript"/>
        </w:rPr>
        <w:t>238</w:t>
      </w:r>
      <w:r w:rsidRPr="00AA5F9D">
        <w:t>U (λ</w:t>
      </w:r>
      <w:r w:rsidRPr="00AA5F9D">
        <w:rPr>
          <w:vertAlign w:val="subscript"/>
        </w:rPr>
        <w:t>238</w:t>
      </w:r>
      <w:r w:rsidRPr="00AA5F9D">
        <w:t xml:space="preserve"> = 1.551x10</w:t>
      </w:r>
      <w:r w:rsidRPr="00AA5F9D">
        <w:rPr>
          <w:vertAlign w:val="superscript"/>
        </w:rPr>
        <w:t>-10</w:t>
      </w:r>
      <w:r w:rsidRPr="00AA5F9D">
        <w:t xml:space="preserve"> yr</w:t>
      </w:r>
      <w:r w:rsidRPr="00AA5F9D">
        <w:rPr>
          <w:vertAlign w:val="superscript"/>
        </w:rPr>
        <w:t>-1</w:t>
      </w:r>
      <w:r w:rsidRPr="00AA5F9D">
        <w:t xml:space="preserve">), </w:t>
      </w:r>
      <w:r w:rsidRPr="00AA5F9D">
        <w:rPr>
          <w:vertAlign w:val="superscript"/>
        </w:rPr>
        <w:t>234</w:t>
      </w:r>
      <w:r w:rsidRPr="00AA5F9D">
        <w:t>U (λ</w:t>
      </w:r>
      <w:r w:rsidRPr="00AA5F9D">
        <w:rPr>
          <w:vertAlign w:val="subscript"/>
        </w:rPr>
        <w:t>234</w:t>
      </w:r>
      <w:r w:rsidRPr="00AA5F9D">
        <w:t xml:space="preserve"> = 2.826 x10</w:t>
      </w:r>
      <w:r w:rsidRPr="00AA5F9D">
        <w:rPr>
          <w:vertAlign w:val="superscript"/>
        </w:rPr>
        <w:t>-6</w:t>
      </w:r>
      <w:r w:rsidR="00BD1DFD" w:rsidRPr="00B62085">
        <w:t xml:space="preserve"> </w:t>
      </w:r>
      <w:r w:rsidRPr="00AA5F9D">
        <w:t>yr</w:t>
      </w:r>
      <w:r w:rsidR="00B249CF" w:rsidRPr="00B62085">
        <w:rPr>
          <w:vertAlign w:val="superscript"/>
        </w:rPr>
        <w:t>-</w:t>
      </w:r>
      <w:r w:rsidRPr="00AA5F9D">
        <w:rPr>
          <w:vertAlign w:val="superscript"/>
        </w:rPr>
        <w:t>1</w:t>
      </w:r>
      <w:r w:rsidRPr="00AA5F9D">
        <w:t xml:space="preserve">), and </w:t>
      </w:r>
      <w:r w:rsidRPr="00AA5F9D">
        <w:rPr>
          <w:vertAlign w:val="superscript"/>
        </w:rPr>
        <w:t>230</w:t>
      </w:r>
      <w:r w:rsidRPr="00AA5F9D">
        <w:t>Th (λ</w:t>
      </w:r>
      <w:r w:rsidRPr="00AA5F9D">
        <w:rPr>
          <w:vertAlign w:val="subscript"/>
        </w:rPr>
        <w:t>230</w:t>
      </w:r>
      <w:r w:rsidRPr="00AA5F9D">
        <w:t xml:space="preserve"> = 9.158x10</w:t>
      </w:r>
      <w:r w:rsidRPr="00AA5F9D">
        <w:rPr>
          <w:vertAlign w:val="superscript"/>
        </w:rPr>
        <w:t>-6</w:t>
      </w:r>
      <w:r w:rsidRPr="00AA5F9D">
        <w:t xml:space="preserve"> yr</w:t>
      </w:r>
      <w:r w:rsidRPr="00AA5F9D">
        <w:rPr>
          <w:vertAlign w:val="superscript"/>
        </w:rPr>
        <w:t>-1</w:t>
      </w:r>
      <w:r w:rsidRPr="00AA5F9D">
        <w:t xml:space="preserve">) following Cheng et al. (2000). The 2σ errors associated with the uncorrected ages stem directly from uncertainties in the </w:t>
      </w:r>
      <w:r w:rsidRPr="00AA5F9D">
        <w:rPr>
          <w:vertAlign w:val="superscript"/>
        </w:rPr>
        <w:t>230</w:t>
      </w:r>
      <w:r w:rsidRPr="00AA5F9D">
        <w:t>Th/</w:t>
      </w:r>
      <w:r w:rsidRPr="00AA5F9D">
        <w:rPr>
          <w:vertAlign w:val="superscript"/>
        </w:rPr>
        <w:t>238</w:t>
      </w:r>
      <w:r w:rsidRPr="00AA5F9D">
        <w:t xml:space="preserve">U and </w:t>
      </w:r>
      <w:r w:rsidRPr="00AA5F9D">
        <w:rPr>
          <w:vertAlign w:val="superscript"/>
        </w:rPr>
        <w:t>234</w:t>
      </w:r>
      <w:r w:rsidRPr="00AA5F9D">
        <w:t>U/</w:t>
      </w:r>
      <w:r w:rsidRPr="00AA5F9D">
        <w:rPr>
          <w:vertAlign w:val="superscript"/>
        </w:rPr>
        <w:t>238</w:t>
      </w:r>
      <w:r w:rsidRPr="00AA5F9D">
        <w:t xml:space="preserve">U ratios. The corrected </w:t>
      </w:r>
      <w:r w:rsidRPr="00AA5F9D">
        <w:rPr>
          <w:vertAlign w:val="superscript"/>
        </w:rPr>
        <w:t>230</w:t>
      </w:r>
      <w:r w:rsidRPr="00AA5F9D">
        <w:t>Th age is determined based on an assumed bulk Earth or upper crust value of 0.83.</w:t>
      </w:r>
    </w:p>
    <w:tbl>
      <w:tblPr>
        <w:tblW w:w="5101" w:type="pct"/>
        <w:jc w:val="center"/>
        <w:tblBorders>
          <w:bottom w:val="single" w:sz="4" w:space="0" w:color="auto"/>
          <w:insideV w:val="single" w:sz="4" w:space="0" w:color="auto"/>
        </w:tblBorders>
        <w:tblLayout w:type="fixed"/>
        <w:tblLook w:val="04A0" w:firstRow="1" w:lastRow="0" w:firstColumn="1" w:lastColumn="0" w:noHBand="0" w:noVBand="1"/>
      </w:tblPr>
      <w:tblGrid>
        <w:gridCol w:w="928"/>
        <w:gridCol w:w="934"/>
        <w:gridCol w:w="1072"/>
        <w:gridCol w:w="799"/>
        <w:gridCol w:w="1070"/>
        <w:gridCol w:w="1070"/>
        <w:gridCol w:w="1066"/>
        <w:gridCol w:w="1070"/>
        <w:gridCol w:w="1199"/>
      </w:tblGrid>
      <w:tr w:rsidR="00AA5F9D" w:rsidRPr="00AA5F9D" w14:paraId="6AD065D8" w14:textId="77777777" w:rsidTr="00873AFB">
        <w:trPr>
          <w:trHeight w:val="1095"/>
          <w:jc w:val="center"/>
        </w:trPr>
        <w:tc>
          <w:tcPr>
            <w:tcW w:w="504" w:type="pct"/>
            <w:tcBorders>
              <w:bottom w:val="single" w:sz="4" w:space="0" w:color="auto"/>
            </w:tcBorders>
            <w:shd w:val="clear" w:color="auto" w:fill="auto"/>
            <w:vAlign w:val="center"/>
            <w:hideMark/>
          </w:tcPr>
          <w:p w14:paraId="11B3325B"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Sample ID</w:t>
            </w:r>
          </w:p>
        </w:tc>
        <w:tc>
          <w:tcPr>
            <w:tcW w:w="507" w:type="pct"/>
            <w:tcBorders>
              <w:bottom w:val="single" w:sz="4" w:space="0" w:color="auto"/>
            </w:tcBorders>
            <w:vAlign w:val="center"/>
          </w:tcPr>
          <w:p w14:paraId="229F9A03"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Tissue</w:t>
            </w:r>
          </w:p>
        </w:tc>
        <w:tc>
          <w:tcPr>
            <w:tcW w:w="582" w:type="pct"/>
            <w:tcBorders>
              <w:bottom w:val="single" w:sz="4" w:space="0" w:color="auto"/>
            </w:tcBorders>
            <w:shd w:val="clear" w:color="auto" w:fill="auto"/>
            <w:vAlign w:val="center"/>
            <w:hideMark/>
          </w:tcPr>
          <w:p w14:paraId="5FE42D78"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U (ppm)</w:t>
            </w:r>
          </w:p>
        </w:tc>
        <w:tc>
          <w:tcPr>
            <w:tcW w:w="434" w:type="pct"/>
            <w:tcBorders>
              <w:bottom w:val="single" w:sz="4" w:space="0" w:color="auto"/>
            </w:tcBorders>
            <w:shd w:val="clear" w:color="auto" w:fill="auto"/>
            <w:vAlign w:val="center"/>
            <w:hideMark/>
          </w:tcPr>
          <w:p w14:paraId="4FB14044"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vertAlign w:val="superscript"/>
                <w:lang w:eastAsia="en-AU"/>
              </w:rPr>
              <w:t>230</w:t>
            </w:r>
            <w:r w:rsidRPr="00AA5F9D">
              <w:rPr>
                <w:rFonts w:ascii="Helvetica" w:hAnsi="Helvetica"/>
                <w:sz w:val="20"/>
                <w:szCs w:val="20"/>
                <w:lang w:eastAsia="en-AU"/>
              </w:rPr>
              <w:t xml:space="preserve">Th/ </w:t>
            </w:r>
            <w:r w:rsidRPr="00AA5F9D">
              <w:rPr>
                <w:rFonts w:ascii="Helvetica" w:hAnsi="Helvetica"/>
                <w:sz w:val="20"/>
                <w:szCs w:val="20"/>
                <w:vertAlign w:val="superscript"/>
                <w:lang w:eastAsia="en-AU"/>
              </w:rPr>
              <w:t>232</w:t>
            </w:r>
            <w:r w:rsidRPr="00AA5F9D">
              <w:rPr>
                <w:rFonts w:ascii="Helvetica" w:hAnsi="Helvetica"/>
                <w:sz w:val="20"/>
                <w:szCs w:val="20"/>
                <w:lang w:eastAsia="en-AU"/>
              </w:rPr>
              <w:t>Th</w:t>
            </w:r>
          </w:p>
        </w:tc>
        <w:tc>
          <w:tcPr>
            <w:tcW w:w="581" w:type="pct"/>
            <w:tcBorders>
              <w:bottom w:val="single" w:sz="4" w:space="0" w:color="auto"/>
            </w:tcBorders>
            <w:shd w:val="clear" w:color="auto" w:fill="auto"/>
            <w:vAlign w:val="center"/>
            <w:hideMark/>
          </w:tcPr>
          <w:p w14:paraId="5DFB4B37"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vertAlign w:val="superscript"/>
                <w:lang w:eastAsia="en-AU"/>
              </w:rPr>
              <w:t>230</w:t>
            </w:r>
            <w:r w:rsidRPr="00AA5F9D">
              <w:rPr>
                <w:rFonts w:ascii="Helvetica" w:hAnsi="Helvetica"/>
                <w:sz w:val="20"/>
                <w:szCs w:val="20"/>
                <w:lang w:eastAsia="en-AU"/>
              </w:rPr>
              <w:t>Th/</w:t>
            </w:r>
            <w:r w:rsidRPr="00AA5F9D">
              <w:rPr>
                <w:rFonts w:ascii="Helvetica" w:hAnsi="Helvetica"/>
                <w:sz w:val="20"/>
                <w:szCs w:val="20"/>
                <w:vertAlign w:val="superscript"/>
                <w:lang w:eastAsia="en-AU"/>
              </w:rPr>
              <w:t>238</w:t>
            </w:r>
            <w:r w:rsidRPr="00AA5F9D">
              <w:rPr>
                <w:rFonts w:ascii="Helvetica" w:hAnsi="Helvetica"/>
                <w:sz w:val="20"/>
                <w:szCs w:val="20"/>
                <w:lang w:eastAsia="en-AU"/>
              </w:rPr>
              <w:t>U</w:t>
            </w:r>
          </w:p>
        </w:tc>
        <w:tc>
          <w:tcPr>
            <w:tcW w:w="581" w:type="pct"/>
            <w:tcBorders>
              <w:bottom w:val="single" w:sz="4" w:space="0" w:color="auto"/>
            </w:tcBorders>
            <w:shd w:val="clear" w:color="auto" w:fill="auto"/>
            <w:vAlign w:val="center"/>
            <w:hideMark/>
          </w:tcPr>
          <w:p w14:paraId="0C816702"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vertAlign w:val="superscript"/>
                <w:lang w:eastAsia="en-AU"/>
              </w:rPr>
              <w:t>234</w:t>
            </w:r>
            <w:r w:rsidRPr="00AA5F9D">
              <w:rPr>
                <w:rFonts w:ascii="Helvetica" w:hAnsi="Helvetica"/>
                <w:sz w:val="20"/>
                <w:szCs w:val="20"/>
                <w:lang w:eastAsia="en-AU"/>
              </w:rPr>
              <w:t xml:space="preserve">U/ </w:t>
            </w:r>
            <w:r w:rsidRPr="00AA5F9D">
              <w:rPr>
                <w:rFonts w:ascii="Helvetica" w:hAnsi="Helvetica"/>
                <w:sz w:val="20"/>
                <w:szCs w:val="20"/>
                <w:vertAlign w:val="superscript"/>
                <w:lang w:eastAsia="en-AU"/>
              </w:rPr>
              <w:t>238</w:t>
            </w:r>
            <w:r w:rsidRPr="00AA5F9D">
              <w:rPr>
                <w:rFonts w:ascii="Helvetica" w:hAnsi="Helvetica"/>
                <w:sz w:val="20"/>
                <w:szCs w:val="20"/>
                <w:lang w:eastAsia="en-AU"/>
              </w:rPr>
              <w:t>U</w:t>
            </w:r>
          </w:p>
        </w:tc>
        <w:tc>
          <w:tcPr>
            <w:tcW w:w="579" w:type="pct"/>
            <w:tcBorders>
              <w:bottom w:val="single" w:sz="4" w:space="0" w:color="auto"/>
            </w:tcBorders>
            <w:shd w:val="clear" w:color="auto" w:fill="auto"/>
            <w:vAlign w:val="center"/>
            <w:hideMark/>
          </w:tcPr>
          <w:p w14:paraId="5B596C06" w14:textId="77777777" w:rsidR="00573608" w:rsidRPr="00AA5F9D" w:rsidRDefault="00573608" w:rsidP="00B62085">
            <w:pPr>
              <w:adjustRightInd w:val="0"/>
              <w:snapToGrid w:val="0"/>
              <w:spacing w:after="0" w:line="240" w:lineRule="auto"/>
              <w:rPr>
                <w:rFonts w:ascii="Helvetica" w:hAnsi="Helvetica"/>
                <w:sz w:val="20"/>
                <w:szCs w:val="20"/>
                <w:lang w:eastAsia="en-AU"/>
              </w:rPr>
            </w:pPr>
            <w:proofErr w:type="spellStart"/>
            <w:r w:rsidRPr="00AA5F9D">
              <w:rPr>
                <w:rFonts w:ascii="Helvetica" w:hAnsi="Helvetica"/>
                <w:sz w:val="20"/>
                <w:szCs w:val="20"/>
                <w:lang w:eastAsia="en-AU"/>
              </w:rPr>
              <w:t>uncorr</w:t>
            </w:r>
            <w:proofErr w:type="spellEnd"/>
            <w:r w:rsidRPr="00AA5F9D">
              <w:rPr>
                <w:rFonts w:ascii="Helvetica" w:hAnsi="Helvetica"/>
                <w:sz w:val="20"/>
                <w:szCs w:val="20"/>
                <w:lang w:eastAsia="en-AU"/>
              </w:rPr>
              <w:t xml:space="preserve">. </w:t>
            </w:r>
            <w:r w:rsidRPr="00AA5F9D">
              <w:rPr>
                <w:rFonts w:ascii="Helvetica" w:hAnsi="Helvetica"/>
                <w:sz w:val="20"/>
                <w:szCs w:val="20"/>
                <w:vertAlign w:val="superscript"/>
                <w:lang w:eastAsia="en-AU"/>
              </w:rPr>
              <w:t>230</w:t>
            </w:r>
            <w:r w:rsidRPr="00AA5F9D">
              <w:rPr>
                <w:rFonts w:ascii="Helvetica" w:hAnsi="Helvetica"/>
                <w:sz w:val="20"/>
                <w:szCs w:val="20"/>
                <w:lang w:eastAsia="en-AU"/>
              </w:rPr>
              <w:t>Th age (ka)</w:t>
            </w:r>
          </w:p>
        </w:tc>
        <w:tc>
          <w:tcPr>
            <w:tcW w:w="581" w:type="pct"/>
            <w:tcBorders>
              <w:bottom w:val="single" w:sz="4" w:space="0" w:color="auto"/>
            </w:tcBorders>
            <w:shd w:val="clear" w:color="auto" w:fill="auto"/>
            <w:vAlign w:val="center"/>
            <w:hideMark/>
          </w:tcPr>
          <w:p w14:paraId="10921A25"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 xml:space="preserve">corr. </w:t>
            </w:r>
            <w:r w:rsidRPr="00AA5F9D">
              <w:rPr>
                <w:rFonts w:ascii="Helvetica" w:hAnsi="Helvetica"/>
                <w:sz w:val="20"/>
                <w:szCs w:val="20"/>
                <w:lang w:eastAsia="en-AU"/>
              </w:rPr>
              <w:br/>
            </w:r>
            <w:r w:rsidRPr="00AA5F9D">
              <w:rPr>
                <w:rFonts w:ascii="Helvetica" w:hAnsi="Helvetica"/>
                <w:sz w:val="20"/>
                <w:szCs w:val="20"/>
                <w:vertAlign w:val="superscript"/>
                <w:lang w:eastAsia="en-AU"/>
              </w:rPr>
              <w:t>230</w:t>
            </w:r>
            <w:r w:rsidRPr="00AA5F9D">
              <w:rPr>
                <w:rFonts w:ascii="Helvetica" w:hAnsi="Helvetica"/>
                <w:sz w:val="20"/>
                <w:szCs w:val="20"/>
                <w:lang w:eastAsia="en-AU"/>
              </w:rPr>
              <w:t>Th age (ka)</w:t>
            </w:r>
          </w:p>
        </w:tc>
        <w:tc>
          <w:tcPr>
            <w:tcW w:w="653" w:type="pct"/>
            <w:tcBorders>
              <w:bottom w:val="single" w:sz="4" w:space="0" w:color="auto"/>
            </w:tcBorders>
            <w:shd w:val="clear" w:color="auto" w:fill="auto"/>
            <w:vAlign w:val="center"/>
            <w:hideMark/>
          </w:tcPr>
          <w:p w14:paraId="5001A980"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corr. Initial (</w:t>
            </w:r>
            <w:r w:rsidRPr="00AA5F9D">
              <w:rPr>
                <w:rFonts w:ascii="Helvetica" w:hAnsi="Helvetica"/>
                <w:sz w:val="20"/>
                <w:szCs w:val="20"/>
                <w:vertAlign w:val="superscript"/>
                <w:lang w:eastAsia="en-AU"/>
              </w:rPr>
              <w:t>234</w:t>
            </w:r>
            <w:r w:rsidRPr="00AA5F9D">
              <w:rPr>
                <w:rFonts w:ascii="Helvetica" w:hAnsi="Helvetica"/>
                <w:sz w:val="20"/>
                <w:szCs w:val="20"/>
                <w:lang w:eastAsia="en-AU"/>
              </w:rPr>
              <w:t xml:space="preserve">U/ </w:t>
            </w:r>
            <w:r w:rsidRPr="00AA5F9D">
              <w:rPr>
                <w:rFonts w:ascii="Helvetica" w:hAnsi="Helvetica"/>
                <w:sz w:val="20"/>
                <w:szCs w:val="20"/>
                <w:vertAlign w:val="superscript"/>
                <w:lang w:eastAsia="en-AU"/>
              </w:rPr>
              <w:t>238</w:t>
            </w:r>
            <w:r w:rsidRPr="00AA5F9D">
              <w:rPr>
                <w:rFonts w:ascii="Helvetica" w:hAnsi="Helvetica"/>
                <w:sz w:val="20"/>
                <w:szCs w:val="20"/>
                <w:lang w:eastAsia="en-AU"/>
              </w:rPr>
              <w:t>U)</w:t>
            </w:r>
          </w:p>
        </w:tc>
      </w:tr>
      <w:tr w:rsidR="00AA5F9D" w:rsidRPr="00AA5F9D" w14:paraId="55871052" w14:textId="77777777" w:rsidTr="00873AFB">
        <w:trPr>
          <w:trHeight w:val="300"/>
          <w:jc w:val="center"/>
        </w:trPr>
        <w:tc>
          <w:tcPr>
            <w:tcW w:w="504" w:type="pct"/>
            <w:tcBorders>
              <w:top w:val="single" w:sz="4" w:space="0" w:color="auto"/>
            </w:tcBorders>
            <w:shd w:val="clear" w:color="auto" w:fill="auto"/>
            <w:noWrap/>
            <w:vAlign w:val="center"/>
            <w:hideMark/>
          </w:tcPr>
          <w:p w14:paraId="57E00135"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#582</w:t>
            </w:r>
          </w:p>
        </w:tc>
        <w:tc>
          <w:tcPr>
            <w:tcW w:w="507" w:type="pct"/>
            <w:tcBorders>
              <w:top w:val="single" w:sz="4" w:space="0" w:color="auto"/>
            </w:tcBorders>
            <w:vAlign w:val="center"/>
          </w:tcPr>
          <w:p w14:paraId="479B441E"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Dentine</w:t>
            </w:r>
          </w:p>
        </w:tc>
        <w:tc>
          <w:tcPr>
            <w:tcW w:w="582" w:type="pct"/>
            <w:tcBorders>
              <w:top w:val="single" w:sz="4" w:space="0" w:color="auto"/>
            </w:tcBorders>
            <w:shd w:val="clear" w:color="auto" w:fill="auto"/>
            <w:noWrap/>
            <w:vAlign w:val="center"/>
          </w:tcPr>
          <w:p w14:paraId="2A910206"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 xml:space="preserve">1.513 </w:t>
            </w:r>
            <w:r w:rsidRPr="00AA5F9D">
              <w:rPr>
                <w:rFonts w:ascii="Helvetica" w:hAnsi="Helvetica"/>
                <w:sz w:val="20"/>
                <w:szCs w:val="20"/>
              </w:rPr>
              <w:br/>
              <w:t>± 0.003</w:t>
            </w:r>
          </w:p>
        </w:tc>
        <w:tc>
          <w:tcPr>
            <w:tcW w:w="434" w:type="pct"/>
            <w:tcBorders>
              <w:top w:val="single" w:sz="4" w:space="0" w:color="auto"/>
            </w:tcBorders>
            <w:shd w:val="clear" w:color="auto" w:fill="auto"/>
            <w:noWrap/>
            <w:vAlign w:val="center"/>
          </w:tcPr>
          <w:p w14:paraId="180772D4"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112.3</w:t>
            </w:r>
          </w:p>
        </w:tc>
        <w:tc>
          <w:tcPr>
            <w:tcW w:w="581" w:type="pct"/>
            <w:tcBorders>
              <w:top w:val="single" w:sz="4" w:space="0" w:color="auto"/>
            </w:tcBorders>
            <w:shd w:val="clear" w:color="auto" w:fill="auto"/>
            <w:noWrap/>
            <w:vAlign w:val="center"/>
          </w:tcPr>
          <w:p w14:paraId="70CCEFE7"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 xml:space="preserve">0.1318 </w:t>
            </w:r>
            <w:r w:rsidRPr="00AA5F9D">
              <w:rPr>
                <w:rFonts w:ascii="Helvetica" w:hAnsi="Helvetica"/>
                <w:sz w:val="20"/>
                <w:szCs w:val="20"/>
              </w:rPr>
              <w:br/>
              <w:t>± 0.0007</w:t>
            </w:r>
          </w:p>
        </w:tc>
        <w:tc>
          <w:tcPr>
            <w:tcW w:w="581" w:type="pct"/>
            <w:tcBorders>
              <w:top w:val="single" w:sz="4" w:space="0" w:color="auto"/>
            </w:tcBorders>
            <w:shd w:val="clear" w:color="auto" w:fill="auto"/>
            <w:noWrap/>
            <w:vAlign w:val="center"/>
          </w:tcPr>
          <w:p w14:paraId="011C564D"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 xml:space="preserve">1.4429 </w:t>
            </w:r>
            <w:r w:rsidRPr="00AA5F9D">
              <w:rPr>
                <w:rFonts w:ascii="Helvetica" w:hAnsi="Helvetica"/>
                <w:sz w:val="20"/>
                <w:szCs w:val="20"/>
              </w:rPr>
              <w:br/>
              <w:t>± 0.0035</w:t>
            </w:r>
          </w:p>
        </w:tc>
        <w:tc>
          <w:tcPr>
            <w:tcW w:w="579" w:type="pct"/>
            <w:tcBorders>
              <w:top w:val="single" w:sz="4" w:space="0" w:color="auto"/>
            </w:tcBorders>
            <w:shd w:val="clear" w:color="auto" w:fill="auto"/>
            <w:noWrap/>
            <w:vAlign w:val="center"/>
          </w:tcPr>
          <w:p w14:paraId="3727724F"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10.4 ± 0.1</w:t>
            </w:r>
          </w:p>
        </w:tc>
        <w:tc>
          <w:tcPr>
            <w:tcW w:w="581" w:type="pct"/>
            <w:tcBorders>
              <w:top w:val="single" w:sz="4" w:space="0" w:color="auto"/>
            </w:tcBorders>
            <w:shd w:val="clear" w:color="auto" w:fill="auto"/>
            <w:noWrap/>
            <w:vAlign w:val="center"/>
          </w:tcPr>
          <w:p w14:paraId="7F590C39"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10.3 ± 0.1</w:t>
            </w:r>
          </w:p>
        </w:tc>
        <w:tc>
          <w:tcPr>
            <w:tcW w:w="653" w:type="pct"/>
            <w:tcBorders>
              <w:top w:val="single" w:sz="4" w:space="0" w:color="auto"/>
            </w:tcBorders>
            <w:shd w:val="clear" w:color="auto" w:fill="auto"/>
            <w:noWrap/>
            <w:vAlign w:val="center"/>
          </w:tcPr>
          <w:p w14:paraId="1636F5F9"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 xml:space="preserve">1.4565 </w:t>
            </w:r>
            <w:r w:rsidRPr="00AA5F9D">
              <w:rPr>
                <w:rFonts w:ascii="Helvetica" w:hAnsi="Helvetica"/>
                <w:sz w:val="20"/>
                <w:szCs w:val="20"/>
              </w:rPr>
              <w:br/>
              <w:t>±</w:t>
            </w:r>
            <w:r w:rsidRPr="00AA5F9D">
              <w:rPr>
                <w:rFonts w:ascii="Helvetica" w:hAnsi="Helvetica"/>
                <w:sz w:val="20"/>
                <w:szCs w:val="20"/>
                <w:lang w:eastAsia="en-AU"/>
              </w:rPr>
              <w:t xml:space="preserve"> </w:t>
            </w:r>
            <w:r w:rsidRPr="00AA5F9D">
              <w:rPr>
                <w:rFonts w:ascii="Helvetica" w:hAnsi="Helvetica"/>
                <w:sz w:val="20"/>
                <w:szCs w:val="20"/>
              </w:rPr>
              <w:t>0.0036</w:t>
            </w:r>
          </w:p>
        </w:tc>
      </w:tr>
      <w:tr w:rsidR="00573608" w:rsidRPr="00AA5F9D" w14:paraId="281806CD" w14:textId="77777777" w:rsidTr="00873AFB">
        <w:trPr>
          <w:trHeight w:val="300"/>
          <w:jc w:val="center"/>
        </w:trPr>
        <w:tc>
          <w:tcPr>
            <w:tcW w:w="504" w:type="pct"/>
            <w:shd w:val="clear" w:color="auto" w:fill="auto"/>
            <w:noWrap/>
            <w:vAlign w:val="center"/>
            <w:hideMark/>
          </w:tcPr>
          <w:p w14:paraId="398A02D7" w14:textId="77777777" w:rsidR="00573608" w:rsidRPr="00AA5F9D" w:rsidRDefault="00573608" w:rsidP="00B62085">
            <w:pPr>
              <w:adjustRightInd w:val="0"/>
              <w:snapToGrid w:val="0"/>
              <w:spacing w:after="0" w:line="240" w:lineRule="auto"/>
              <w:rPr>
                <w:rFonts w:ascii="Helvetica" w:hAnsi="Helvetica"/>
                <w:sz w:val="20"/>
                <w:szCs w:val="20"/>
                <w:lang w:eastAsia="en-AU"/>
              </w:rPr>
            </w:pPr>
          </w:p>
        </w:tc>
        <w:tc>
          <w:tcPr>
            <w:tcW w:w="507" w:type="pct"/>
            <w:vAlign w:val="center"/>
          </w:tcPr>
          <w:p w14:paraId="7E9BBEE7"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Enamel</w:t>
            </w:r>
          </w:p>
        </w:tc>
        <w:tc>
          <w:tcPr>
            <w:tcW w:w="582" w:type="pct"/>
            <w:shd w:val="clear" w:color="auto" w:fill="auto"/>
            <w:noWrap/>
            <w:vAlign w:val="center"/>
          </w:tcPr>
          <w:p w14:paraId="37F7AB17"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 xml:space="preserve">0.224 </w:t>
            </w:r>
            <w:r w:rsidRPr="00AA5F9D">
              <w:rPr>
                <w:rFonts w:ascii="Helvetica" w:hAnsi="Helvetica"/>
                <w:sz w:val="20"/>
                <w:szCs w:val="20"/>
              </w:rPr>
              <w:br/>
              <w:t>± 0.001</w:t>
            </w:r>
          </w:p>
        </w:tc>
        <w:tc>
          <w:tcPr>
            <w:tcW w:w="434" w:type="pct"/>
            <w:shd w:val="clear" w:color="auto" w:fill="auto"/>
            <w:noWrap/>
            <w:vAlign w:val="center"/>
          </w:tcPr>
          <w:p w14:paraId="336B5EE8"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7.2</w:t>
            </w:r>
          </w:p>
        </w:tc>
        <w:tc>
          <w:tcPr>
            <w:tcW w:w="581" w:type="pct"/>
            <w:shd w:val="clear" w:color="auto" w:fill="auto"/>
            <w:noWrap/>
            <w:vAlign w:val="center"/>
          </w:tcPr>
          <w:p w14:paraId="3924C40C"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 xml:space="preserve">0.3473 </w:t>
            </w:r>
            <w:r w:rsidRPr="00AA5F9D">
              <w:rPr>
                <w:rFonts w:ascii="Helvetica" w:hAnsi="Helvetica"/>
                <w:sz w:val="20"/>
                <w:szCs w:val="20"/>
              </w:rPr>
              <w:br/>
              <w:t>± 0.0067</w:t>
            </w:r>
          </w:p>
        </w:tc>
        <w:tc>
          <w:tcPr>
            <w:tcW w:w="581" w:type="pct"/>
            <w:shd w:val="clear" w:color="auto" w:fill="auto"/>
            <w:noWrap/>
            <w:vAlign w:val="center"/>
          </w:tcPr>
          <w:p w14:paraId="5281CB10"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 xml:space="preserve">1.4790 </w:t>
            </w:r>
            <w:r w:rsidRPr="00AA5F9D">
              <w:rPr>
                <w:rFonts w:ascii="Helvetica" w:hAnsi="Helvetica"/>
                <w:sz w:val="20"/>
                <w:szCs w:val="20"/>
              </w:rPr>
              <w:br/>
              <w:t>± 0.0055</w:t>
            </w:r>
          </w:p>
        </w:tc>
        <w:tc>
          <w:tcPr>
            <w:tcW w:w="579" w:type="pct"/>
            <w:shd w:val="clear" w:color="auto" w:fill="auto"/>
            <w:noWrap/>
            <w:vAlign w:val="center"/>
          </w:tcPr>
          <w:p w14:paraId="58580252"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28.8 ± 0.6</w:t>
            </w:r>
          </w:p>
        </w:tc>
        <w:tc>
          <w:tcPr>
            <w:tcW w:w="581" w:type="pct"/>
            <w:shd w:val="clear" w:color="auto" w:fill="auto"/>
            <w:noWrap/>
            <w:vAlign w:val="center"/>
          </w:tcPr>
          <w:p w14:paraId="435DF801"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25.9 ± 1.4</w:t>
            </w:r>
          </w:p>
        </w:tc>
        <w:tc>
          <w:tcPr>
            <w:tcW w:w="653" w:type="pct"/>
            <w:shd w:val="clear" w:color="auto" w:fill="auto"/>
            <w:noWrap/>
            <w:vAlign w:val="center"/>
          </w:tcPr>
          <w:p w14:paraId="07000DA4"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 xml:space="preserve">1.5366 </w:t>
            </w:r>
            <w:r w:rsidRPr="00AA5F9D">
              <w:rPr>
                <w:rFonts w:ascii="Helvetica" w:hAnsi="Helvetica"/>
                <w:sz w:val="20"/>
                <w:szCs w:val="20"/>
              </w:rPr>
              <w:br/>
              <w:t>± 0.0126</w:t>
            </w:r>
          </w:p>
        </w:tc>
      </w:tr>
    </w:tbl>
    <w:p w14:paraId="3CC99F1E" w14:textId="77777777" w:rsidR="00573608" w:rsidRPr="00AA5F9D" w:rsidRDefault="00573608" w:rsidP="00573608">
      <w:pPr>
        <w:adjustRightInd w:val="0"/>
        <w:snapToGrid w:val="0"/>
        <w:spacing w:line="240" w:lineRule="auto"/>
        <w:rPr>
          <w:b/>
          <w:bCs/>
        </w:rPr>
      </w:pPr>
    </w:p>
    <w:p w14:paraId="539ED05C" w14:textId="77777777" w:rsidR="00A36A1E" w:rsidRPr="00AA5F9D" w:rsidRDefault="00A36A1E" w:rsidP="00573608">
      <w:pPr>
        <w:adjustRightInd w:val="0"/>
        <w:snapToGrid w:val="0"/>
        <w:spacing w:line="240" w:lineRule="auto"/>
        <w:rPr>
          <w:b/>
          <w:bCs/>
        </w:rPr>
      </w:pPr>
    </w:p>
    <w:p w14:paraId="3B0E5E20" w14:textId="0B4E0062" w:rsidR="00573608" w:rsidRPr="00AA5F9D" w:rsidRDefault="00573608" w:rsidP="00B94AB1">
      <w:pPr>
        <w:spacing w:line="240" w:lineRule="auto"/>
      </w:pPr>
      <w:r w:rsidRPr="00AA5F9D">
        <w:rPr>
          <w:b/>
          <w:bCs/>
        </w:rPr>
        <w:t>Table S3</w:t>
      </w:r>
      <w:r w:rsidRPr="00AA5F9D">
        <w:t xml:space="preserve">. Radioelement concentrations measured in the various sediment samples. Key: </w:t>
      </w:r>
      <w:proofErr w:type="spellStart"/>
      <w:r w:rsidRPr="00AA5F9D">
        <w:t>s.d.</w:t>
      </w:r>
      <w:proofErr w:type="spellEnd"/>
      <w:r w:rsidRPr="00AA5F9D">
        <w:t xml:space="preserve"> = standard deviation; c.v. = coefficient of variation.</w:t>
      </w:r>
    </w:p>
    <w:p w14:paraId="313DB357" w14:textId="77777777" w:rsidR="00573608" w:rsidRPr="00AA5F9D" w:rsidRDefault="00573608" w:rsidP="00573608">
      <w:pPr>
        <w:adjustRightInd w:val="0"/>
        <w:snapToGrid w:val="0"/>
        <w:spacing w:line="240" w:lineRule="auto"/>
      </w:pPr>
    </w:p>
    <w:tbl>
      <w:tblPr>
        <w:tblW w:w="46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7"/>
        <w:gridCol w:w="850"/>
        <w:gridCol w:w="1276"/>
        <w:gridCol w:w="1419"/>
        <w:gridCol w:w="1365"/>
      </w:tblGrid>
      <w:tr w:rsidR="00AA5F9D" w:rsidRPr="00AA5F9D" w14:paraId="569415ED" w14:textId="77777777" w:rsidTr="00B62085">
        <w:trPr>
          <w:cantSplit/>
          <w:trHeight w:val="278"/>
          <w:jc w:val="center"/>
        </w:trPr>
        <w:tc>
          <w:tcPr>
            <w:tcW w:w="853" w:type="pct"/>
            <w:tcBorders>
              <w:top w:val="nil"/>
              <w:left w:val="nil"/>
              <w:bottom w:val="single" w:sz="4" w:space="0" w:color="auto"/>
            </w:tcBorders>
            <w:shd w:val="clear" w:color="auto" w:fill="auto"/>
            <w:vAlign w:val="center"/>
            <w:hideMark/>
          </w:tcPr>
          <w:p w14:paraId="2715CF8C"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Sample ID</w:t>
            </w:r>
          </w:p>
        </w:tc>
        <w:tc>
          <w:tcPr>
            <w:tcW w:w="1195" w:type="pct"/>
            <w:tcBorders>
              <w:top w:val="nil"/>
              <w:bottom w:val="single" w:sz="4" w:space="0" w:color="auto"/>
            </w:tcBorders>
            <w:vAlign w:val="center"/>
          </w:tcPr>
          <w:p w14:paraId="0AC7F784"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Fossil</w:t>
            </w:r>
          </w:p>
        </w:tc>
        <w:tc>
          <w:tcPr>
            <w:tcW w:w="511" w:type="pct"/>
            <w:tcBorders>
              <w:top w:val="nil"/>
              <w:bottom w:val="single" w:sz="4" w:space="0" w:color="auto"/>
            </w:tcBorders>
            <w:vAlign w:val="center"/>
          </w:tcPr>
          <w:p w14:paraId="346F4BA2"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Weight (mg)</w:t>
            </w:r>
          </w:p>
        </w:tc>
        <w:tc>
          <w:tcPr>
            <w:tcW w:w="767" w:type="pct"/>
            <w:tcBorders>
              <w:top w:val="nil"/>
              <w:bottom w:val="single" w:sz="4" w:space="0" w:color="auto"/>
            </w:tcBorders>
            <w:shd w:val="clear" w:color="auto" w:fill="auto"/>
            <w:vAlign w:val="center"/>
            <w:hideMark/>
          </w:tcPr>
          <w:p w14:paraId="2CB56709"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U (ppm)</w:t>
            </w:r>
          </w:p>
        </w:tc>
        <w:tc>
          <w:tcPr>
            <w:tcW w:w="853" w:type="pct"/>
            <w:tcBorders>
              <w:top w:val="nil"/>
              <w:bottom w:val="single" w:sz="4" w:space="0" w:color="auto"/>
            </w:tcBorders>
            <w:shd w:val="clear" w:color="auto" w:fill="auto"/>
            <w:vAlign w:val="center"/>
            <w:hideMark/>
          </w:tcPr>
          <w:p w14:paraId="463E8E4C"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Th (ppm)</w:t>
            </w:r>
          </w:p>
        </w:tc>
        <w:tc>
          <w:tcPr>
            <w:tcW w:w="821" w:type="pct"/>
            <w:tcBorders>
              <w:top w:val="nil"/>
              <w:bottom w:val="single" w:sz="4" w:space="0" w:color="auto"/>
              <w:right w:val="nil"/>
            </w:tcBorders>
            <w:shd w:val="clear" w:color="auto" w:fill="auto"/>
            <w:vAlign w:val="center"/>
            <w:hideMark/>
          </w:tcPr>
          <w:p w14:paraId="68E5E521"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K (%)</w:t>
            </w:r>
          </w:p>
        </w:tc>
      </w:tr>
      <w:tr w:rsidR="00AA5F9D" w:rsidRPr="00AA5F9D" w14:paraId="369F7FE8" w14:textId="77777777" w:rsidTr="00B62085">
        <w:trPr>
          <w:cantSplit/>
          <w:trHeight w:val="300"/>
          <w:jc w:val="center"/>
        </w:trPr>
        <w:tc>
          <w:tcPr>
            <w:tcW w:w="853" w:type="pct"/>
            <w:tcBorders>
              <w:left w:val="nil"/>
              <w:bottom w:val="nil"/>
            </w:tcBorders>
            <w:shd w:val="clear" w:color="auto" w:fill="auto"/>
            <w:noWrap/>
            <w:vAlign w:val="center"/>
          </w:tcPr>
          <w:p w14:paraId="0A1A175E"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SED-1</w:t>
            </w:r>
          </w:p>
        </w:tc>
        <w:tc>
          <w:tcPr>
            <w:tcW w:w="1195" w:type="pct"/>
            <w:tcBorders>
              <w:bottom w:val="nil"/>
            </w:tcBorders>
            <w:vAlign w:val="center"/>
          </w:tcPr>
          <w:p w14:paraId="25FF24B3"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M2 (specimen VII)</w:t>
            </w:r>
          </w:p>
        </w:tc>
        <w:tc>
          <w:tcPr>
            <w:tcW w:w="511" w:type="pct"/>
            <w:tcBorders>
              <w:bottom w:val="nil"/>
            </w:tcBorders>
            <w:vAlign w:val="bottom"/>
          </w:tcPr>
          <w:p w14:paraId="482FBFAB"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6</w:t>
            </w:r>
          </w:p>
        </w:tc>
        <w:tc>
          <w:tcPr>
            <w:tcW w:w="767" w:type="pct"/>
            <w:tcBorders>
              <w:bottom w:val="nil"/>
            </w:tcBorders>
            <w:shd w:val="clear" w:color="auto" w:fill="auto"/>
            <w:noWrap/>
            <w:vAlign w:val="center"/>
          </w:tcPr>
          <w:p w14:paraId="6AD8D863"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1.69 ± 0.09</w:t>
            </w:r>
          </w:p>
        </w:tc>
        <w:tc>
          <w:tcPr>
            <w:tcW w:w="853" w:type="pct"/>
            <w:tcBorders>
              <w:bottom w:val="nil"/>
            </w:tcBorders>
            <w:shd w:val="clear" w:color="auto" w:fill="auto"/>
            <w:noWrap/>
            <w:vAlign w:val="center"/>
          </w:tcPr>
          <w:p w14:paraId="1BF242EE"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25.05 ± 1.05</w:t>
            </w:r>
          </w:p>
        </w:tc>
        <w:tc>
          <w:tcPr>
            <w:tcW w:w="821" w:type="pct"/>
            <w:tcBorders>
              <w:bottom w:val="nil"/>
              <w:right w:val="nil"/>
            </w:tcBorders>
            <w:shd w:val="clear" w:color="auto" w:fill="auto"/>
            <w:noWrap/>
            <w:vAlign w:val="center"/>
          </w:tcPr>
          <w:p w14:paraId="37FE6CC4"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rPr>
              <w:t>1.04 ± 0.04</w:t>
            </w:r>
          </w:p>
        </w:tc>
      </w:tr>
      <w:tr w:rsidR="00AA5F9D" w:rsidRPr="00AA5F9D" w14:paraId="59D06E5C" w14:textId="77777777" w:rsidTr="00B62085">
        <w:trPr>
          <w:cantSplit/>
          <w:trHeight w:val="300"/>
          <w:jc w:val="center"/>
        </w:trPr>
        <w:tc>
          <w:tcPr>
            <w:tcW w:w="853" w:type="pct"/>
            <w:tcBorders>
              <w:top w:val="nil"/>
              <w:left w:val="nil"/>
              <w:bottom w:val="nil"/>
            </w:tcBorders>
            <w:shd w:val="clear" w:color="auto" w:fill="auto"/>
            <w:noWrap/>
          </w:tcPr>
          <w:p w14:paraId="1FFAC5EB"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SED-2</w:t>
            </w:r>
          </w:p>
        </w:tc>
        <w:tc>
          <w:tcPr>
            <w:tcW w:w="1195" w:type="pct"/>
            <w:tcBorders>
              <w:top w:val="nil"/>
              <w:bottom w:val="nil"/>
            </w:tcBorders>
            <w:vAlign w:val="center"/>
          </w:tcPr>
          <w:p w14:paraId="72878BA7"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M2 (specimen VII)</w:t>
            </w:r>
          </w:p>
        </w:tc>
        <w:tc>
          <w:tcPr>
            <w:tcW w:w="511" w:type="pct"/>
            <w:tcBorders>
              <w:top w:val="nil"/>
              <w:bottom w:val="nil"/>
            </w:tcBorders>
            <w:vAlign w:val="bottom"/>
          </w:tcPr>
          <w:p w14:paraId="55058A37"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12</w:t>
            </w:r>
          </w:p>
        </w:tc>
        <w:tc>
          <w:tcPr>
            <w:tcW w:w="767" w:type="pct"/>
            <w:tcBorders>
              <w:top w:val="nil"/>
              <w:bottom w:val="nil"/>
            </w:tcBorders>
            <w:shd w:val="clear" w:color="auto" w:fill="auto"/>
            <w:noWrap/>
            <w:vAlign w:val="center"/>
          </w:tcPr>
          <w:p w14:paraId="50944642"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0.98 ± 0.08</w:t>
            </w:r>
          </w:p>
        </w:tc>
        <w:tc>
          <w:tcPr>
            <w:tcW w:w="853" w:type="pct"/>
            <w:tcBorders>
              <w:top w:val="nil"/>
              <w:bottom w:val="nil"/>
            </w:tcBorders>
            <w:shd w:val="clear" w:color="auto" w:fill="auto"/>
            <w:noWrap/>
            <w:vAlign w:val="center"/>
          </w:tcPr>
          <w:p w14:paraId="6358297E"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16.24 ± 0.68</w:t>
            </w:r>
          </w:p>
        </w:tc>
        <w:tc>
          <w:tcPr>
            <w:tcW w:w="821" w:type="pct"/>
            <w:tcBorders>
              <w:top w:val="nil"/>
              <w:bottom w:val="nil"/>
              <w:right w:val="nil"/>
            </w:tcBorders>
            <w:shd w:val="clear" w:color="auto" w:fill="auto"/>
            <w:noWrap/>
            <w:vAlign w:val="center"/>
          </w:tcPr>
          <w:p w14:paraId="483CA69B"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0.50 ± 0.02</w:t>
            </w:r>
          </w:p>
        </w:tc>
      </w:tr>
      <w:tr w:rsidR="00AA5F9D" w:rsidRPr="00AA5F9D" w14:paraId="7A4FEEDC" w14:textId="77777777" w:rsidTr="00B62085">
        <w:trPr>
          <w:cantSplit/>
          <w:trHeight w:val="300"/>
          <w:jc w:val="center"/>
        </w:trPr>
        <w:tc>
          <w:tcPr>
            <w:tcW w:w="853" w:type="pct"/>
            <w:tcBorders>
              <w:top w:val="nil"/>
              <w:left w:val="nil"/>
              <w:bottom w:val="nil"/>
            </w:tcBorders>
            <w:shd w:val="clear" w:color="auto" w:fill="auto"/>
            <w:noWrap/>
          </w:tcPr>
          <w:p w14:paraId="2C26A866"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SED-3</w:t>
            </w:r>
          </w:p>
        </w:tc>
        <w:tc>
          <w:tcPr>
            <w:tcW w:w="1195" w:type="pct"/>
            <w:tcBorders>
              <w:top w:val="nil"/>
              <w:bottom w:val="nil"/>
            </w:tcBorders>
            <w:vAlign w:val="center"/>
          </w:tcPr>
          <w:p w14:paraId="621716E3"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Bones (1893 site)</w:t>
            </w:r>
          </w:p>
        </w:tc>
        <w:tc>
          <w:tcPr>
            <w:tcW w:w="511" w:type="pct"/>
            <w:tcBorders>
              <w:top w:val="nil"/>
              <w:bottom w:val="nil"/>
            </w:tcBorders>
            <w:vAlign w:val="bottom"/>
          </w:tcPr>
          <w:p w14:paraId="2AD5E765"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204</w:t>
            </w:r>
          </w:p>
        </w:tc>
        <w:tc>
          <w:tcPr>
            <w:tcW w:w="767" w:type="pct"/>
            <w:tcBorders>
              <w:top w:val="nil"/>
              <w:bottom w:val="nil"/>
            </w:tcBorders>
            <w:shd w:val="clear" w:color="auto" w:fill="auto"/>
            <w:noWrap/>
            <w:vAlign w:val="center"/>
          </w:tcPr>
          <w:p w14:paraId="6B1ADADE"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1.94 ± 0.10</w:t>
            </w:r>
          </w:p>
        </w:tc>
        <w:tc>
          <w:tcPr>
            <w:tcW w:w="853" w:type="pct"/>
            <w:tcBorders>
              <w:top w:val="nil"/>
              <w:bottom w:val="nil"/>
            </w:tcBorders>
            <w:shd w:val="clear" w:color="auto" w:fill="auto"/>
            <w:noWrap/>
            <w:vAlign w:val="center"/>
          </w:tcPr>
          <w:p w14:paraId="004B53F0"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7.66 ± 0.32</w:t>
            </w:r>
          </w:p>
        </w:tc>
        <w:tc>
          <w:tcPr>
            <w:tcW w:w="821" w:type="pct"/>
            <w:tcBorders>
              <w:top w:val="nil"/>
              <w:bottom w:val="nil"/>
              <w:right w:val="nil"/>
            </w:tcBorders>
            <w:shd w:val="clear" w:color="auto" w:fill="auto"/>
            <w:noWrap/>
            <w:vAlign w:val="center"/>
          </w:tcPr>
          <w:p w14:paraId="64DFD735"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1.31 ± 0.05</w:t>
            </w:r>
          </w:p>
        </w:tc>
      </w:tr>
      <w:tr w:rsidR="00AA5F9D" w:rsidRPr="00AA5F9D" w14:paraId="549FDDF0" w14:textId="77777777" w:rsidTr="00B62085">
        <w:trPr>
          <w:cantSplit/>
          <w:trHeight w:val="300"/>
          <w:jc w:val="center"/>
        </w:trPr>
        <w:tc>
          <w:tcPr>
            <w:tcW w:w="853" w:type="pct"/>
            <w:tcBorders>
              <w:top w:val="nil"/>
              <w:left w:val="nil"/>
              <w:bottom w:val="nil"/>
            </w:tcBorders>
            <w:shd w:val="clear" w:color="auto" w:fill="auto"/>
            <w:noWrap/>
          </w:tcPr>
          <w:p w14:paraId="678B57A5"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SED-4</w:t>
            </w:r>
          </w:p>
        </w:tc>
        <w:tc>
          <w:tcPr>
            <w:tcW w:w="1195" w:type="pct"/>
            <w:tcBorders>
              <w:top w:val="nil"/>
              <w:bottom w:val="nil"/>
            </w:tcBorders>
            <w:vAlign w:val="center"/>
          </w:tcPr>
          <w:p w14:paraId="67AE3A2B"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M1 (specimen VII)</w:t>
            </w:r>
          </w:p>
        </w:tc>
        <w:tc>
          <w:tcPr>
            <w:tcW w:w="511" w:type="pct"/>
            <w:tcBorders>
              <w:top w:val="nil"/>
              <w:bottom w:val="nil"/>
            </w:tcBorders>
            <w:vAlign w:val="bottom"/>
          </w:tcPr>
          <w:p w14:paraId="21FA6CAC"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39</w:t>
            </w:r>
          </w:p>
        </w:tc>
        <w:tc>
          <w:tcPr>
            <w:tcW w:w="767" w:type="pct"/>
            <w:tcBorders>
              <w:top w:val="nil"/>
              <w:bottom w:val="nil"/>
            </w:tcBorders>
            <w:shd w:val="clear" w:color="auto" w:fill="auto"/>
            <w:noWrap/>
            <w:vAlign w:val="center"/>
          </w:tcPr>
          <w:p w14:paraId="1F27CF4A"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0.84 ± 0.07</w:t>
            </w:r>
          </w:p>
        </w:tc>
        <w:tc>
          <w:tcPr>
            <w:tcW w:w="853" w:type="pct"/>
            <w:tcBorders>
              <w:top w:val="nil"/>
              <w:bottom w:val="nil"/>
            </w:tcBorders>
            <w:shd w:val="clear" w:color="auto" w:fill="auto"/>
            <w:noWrap/>
            <w:vAlign w:val="center"/>
          </w:tcPr>
          <w:p w14:paraId="55480453"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3.45 ± 0.15</w:t>
            </w:r>
          </w:p>
        </w:tc>
        <w:tc>
          <w:tcPr>
            <w:tcW w:w="821" w:type="pct"/>
            <w:tcBorders>
              <w:top w:val="nil"/>
              <w:bottom w:val="nil"/>
              <w:right w:val="nil"/>
            </w:tcBorders>
            <w:shd w:val="clear" w:color="auto" w:fill="auto"/>
            <w:noWrap/>
            <w:vAlign w:val="center"/>
          </w:tcPr>
          <w:p w14:paraId="46DAD811"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0.61 ± 0.02</w:t>
            </w:r>
          </w:p>
        </w:tc>
      </w:tr>
      <w:tr w:rsidR="00AA5F9D" w:rsidRPr="00AA5F9D" w14:paraId="7B80F2CF" w14:textId="77777777" w:rsidTr="00B62085">
        <w:trPr>
          <w:cantSplit/>
          <w:trHeight w:val="300"/>
          <w:jc w:val="center"/>
        </w:trPr>
        <w:tc>
          <w:tcPr>
            <w:tcW w:w="853" w:type="pct"/>
            <w:tcBorders>
              <w:top w:val="nil"/>
              <w:left w:val="nil"/>
              <w:bottom w:val="nil"/>
            </w:tcBorders>
            <w:shd w:val="clear" w:color="auto" w:fill="auto"/>
            <w:noWrap/>
          </w:tcPr>
          <w:p w14:paraId="14123142"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SED-5</w:t>
            </w:r>
          </w:p>
        </w:tc>
        <w:tc>
          <w:tcPr>
            <w:tcW w:w="1195" w:type="pct"/>
            <w:tcBorders>
              <w:top w:val="nil"/>
              <w:bottom w:val="nil"/>
            </w:tcBorders>
            <w:vAlign w:val="center"/>
          </w:tcPr>
          <w:p w14:paraId="18F86820"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M1 (specimen VII)</w:t>
            </w:r>
          </w:p>
        </w:tc>
        <w:tc>
          <w:tcPr>
            <w:tcW w:w="511" w:type="pct"/>
            <w:tcBorders>
              <w:top w:val="nil"/>
              <w:bottom w:val="nil"/>
            </w:tcBorders>
            <w:vAlign w:val="bottom"/>
          </w:tcPr>
          <w:p w14:paraId="0CBF617B"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51</w:t>
            </w:r>
          </w:p>
        </w:tc>
        <w:tc>
          <w:tcPr>
            <w:tcW w:w="767" w:type="pct"/>
            <w:tcBorders>
              <w:top w:val="nil"/>
              <w:bottom w:val="nil"/>
            </w:tcBorders>
            <w:shd w:val="clear" w:color="auto" w:fill="auto"/>
            <w:noWrap/>
            <w:vAlign w:val="center"/>
          </w:tcPr>
          <w:p w14:paraId="250B5499"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0.74 ± 0.07</w:t>
            </w:r>
          </w:p>
        </w:tc>
        <w:tc>
          <w:tcPr>
            <w:tcW w:w="853" w:type="pct"/>
            <w:tcBorders>
              <w:top w:val="nil"/>
              <w:bottom w:val="nil"/>
            </w:tcBorders>
            <w:shd w:val="clear" w:color="auto" w:fill="auto"/>
            <w:noWrap/>
            <w:vAlign w:val="center"/>
          </w:tcPr>
          <w:p w14:paraId="3EB92BCD"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3.47 ± 0.15</w:t>
            </w:r>
          </w:p>
        </w:tc>
        <w:tc>
          <w:tcPr>
            <w:tcW w:w="821" w:type="pct"/>
            <w:tcBorders>
              <w:top w:val="nil"/>
              <w:bottom w:val="nil"/>
              <w:right w:val="nil"/>
            </w:tcBorders>
            <w:shd w:val="clear" w:color="auto" w:fill="auto"/>
            <w:noWrap/>
            <w:vAlign w:val="center"/>
          </w:tcPr>
          <w:p w14:paraId="60D2367B"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0.63 ± 0.02</w:t>
            </w:r>
          </w:p>
        </w:tc>
      </w:tr>
      <w:tr w:rsidR="00AA5F9D" w:rsidRPr="00AA5F9D" w14:paraId="11B137DD" w14:textId="77777777" w:rsidTr="00B62085">
        <w:trPr>
          <w:cantSplit/>
          <w:trHeight w:val="300"/>
          <w:jc w:val="center"/>
        </w:trPr>
        <w:tc>
          <w:tcPr>
            <w:tcW w:w="853" w:type="pct"/>
            <w:tcBorders>
              <w:top w:val="nil"/>
              <w:left w:val="nil"/>
              <w:bottom w:val="nil"/>
            </w:tcBorders>
            <w:shd w:val="clear" w:color="auto" w:fill="auto"/>
            <w:noWrap/>
          </w:tcPr>
          <w:p w14:paraId="1CEFDF25"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SED-6</w:t>
            </w:r>
          </w:p>
        </w:tc>
        <w:tc>
          <w:tcPr>
            <w:tcW w:w="1195" w:type="pct"/>
            <w:tcBorders>
              <w:top w:val="nil"/>
              <w:bottom w:val="nil"/>
            </w:tcBorders>
            <w:vAlign w:val="center"/>
          </w:tcPr>
          <w:p w14:paraId="39505027"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M1 (specimen VII)</w:t>
            </w:r>
          </w:p>
        </w:tc>
        <w:tc>
          <w:tcPr>
            <w:tcW w:w="511" w:type="pct"/>
            <w:tcBorders>
              <w:top w:val="nil"/>
              <w:bottom w:val="nil"/>
            </w:tcBorders>
            <w:vAlign w:val="bottom"/>
          </w:tcPr>
          <w:p w14:paraId="591FCD78"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49</w:t>
            </w:r>
          </w:p>
        </w:tc>
        <w:tc>
          <w:tcPr>
            <w:tcW w:w="767" w:type="pct"/>
            <w:tcBorders>
              <w:top w:val="nil"/>
              <w:bottom w:val="nil"/>
            </w:tcBorders>
            <w:shd w:val="clear" w:color="auto" w:fill="auto"/>
            <w:noWrap/>
            <w:vAlign w:val="center"/>
          </w:tcPr>
          <w:p w14:paraId="341A649D"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0.64 ± 0.07</w:t>
            </w:r>
          </w:p>
        </w:tc>
        <w:tc>
          <w:tcPr>
            <w:tcW w:w="853" w:type="pct"/>
            <w:tcBorders>
              <w:top w:val="nil"/>
              <w:bottom w:val="nil"/>
            </w:tcBorders>
            <w:shd w:val="clear" w:color="auto" w:fill="auto"/>
            <w:noWrap/>
            <w:vAlign w:val="center"/>
          </w:tcPr>
          <w:p w14:paraId="7392A3B6"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2.73 ± 0.12</w:t>
            </w:r>
          </w:p>
        </w:tc>
        <w:tc>
          <w:tcPr>
            <w:tcW w:w="821" w:type="pct"/>
            <w:tcBorders>
              <w:top w:val="nil"/>
              <w:bottom w:val="nil"/>
              <w:right w:val="nil"/>
            </w:tcBorders>
            <w:shd w:val="clear" w:color="auto" w:fill="auto"/>
            <w:noWrap/>
            <w:vAlign w:val="center"/>
          </w:tcPr>
          <w:p w14:paraId="5B9F84A9"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0.44 ±0.02</w:t>
            </w:r>
          </w:p>
        </w:tc>
      </w:tr>
      <w:tr w:rsidR="00AA5F9D" w:rsidRPr="00AA5F9D" w14:paraId="3D376A1B" w14:textId="77777777" w:rsidTr="00B62085">
        <w:trPr>
          <w:cantSplit/>
          <w:trHeight w:val="300"/>
          <w:jc w:val="center"/>
        </w:trPr>
        <w:tc>
          <w:tcPr>
            <w:tcW w:w="853" w:type="pct"/>
            <w:tcBorders>
              <w:top w:val="nil"/>
              <w:left w:val="nil"/>
              <w:bottom w:val="single" w:sz="4" w:space="0" w:color="auto"/>
            </w:tcBorders>
            <w:shd w:val="clear" w:color="auto" w:fill="auto"/>
            <w:noWrap/>
          </w:tcPr>
          <w:p w14:paraId="56B8E569"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SED-7</w:t>
            </w:r>
          </w:p>
        </w:tc>
        <w:tc>
          <w:tcPr>
            <w:tcW w:w="1195" w:type="pct"/>
            <w:tcBorders>
              <w:top w:val="nil"/>
              <w:bottom w:val="single" w:sz="4" w:space="0" w:color="auto"/>
            </w:tcBorders>
            <w:vAlign w:val="center"/>
          </w:tcPr>
          <w:p w14:paraId="0E45DBF8"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M1 (specimen VII)</w:t>
            </w:r>
          </w:p>
        </w:tc>
        <w:tc>
          <w:tcPr>
            <w:tcW w:w="511" w:type="pct"/>
            <w:tcBorders>
              <w:top w:val="nil"/>
              <w:bottom w:val="single" w:sz="4" w:space="0" w:color="auto"/>
            </w:tcBorders>
            <w:vAlign w:val="bottom"/>
          </w:tcPr>
          <w:p w14:paraId="29145F02"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42</w:t>
            </w:r>
          </w:p>
        </w:tc>
        <w:tc>
          <w:tcPr>
            <w:tcW w:w="767" w:type="pct"/>
            <w:tcBorders>
              <w:top w:val="nil"/>
              <w:bottom w:val="single" w:sz="4" w:space="0" w:color="auto"/>
            </w:tcBorders>
            <w:shd w:val="clear" w:color="auto" w:fill="auto"/>
            <w:noWrap/>
            <w:vAlign w:val="center"/>
          </w:tcPr>
          <w:p w14:paraId="0D8DA61F"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1.30 ± 0.08</w:t>
            </w:r>
          </w:p>
        </w:tc>
        <w:tc>
          <w:tcPr>
            <w:tcW w:w="853" w:type="pct"/>
            <w:tcBorders>
              <w:top w:val="nil"/>
              <w:bottom w:val="single" w:sz="4" w:space="0" w:color="auto"/>
            </w:tcBorders>
            <w:shd w:val="clear" w:color="auto" w:fill="auto"/>
            <w:noWrap/>
            <w:vAlign w:val="center"/>
          </w:tcPr>
          <w:p w14:paraId="0E2AB74D"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2.19 ± 0.10</w:t>
            </w:r>
          </w:p>
        </w:tc>
        <w:tc>
          <w:tcPr>
            <w:tcW w:w="821" w:type="pct"/>
            <w:tcBorders>
              <w:top w:val="nil"/>
              <w:bottom w:val="single" w:sz="4" w:space="0" w:color="auto"/>
              <w:right w:val="nil"/>
            </w:tcBorders>
            <w:shd w:val="clear" w:color="auto" w:fill="auto"/>
            <w:noWrap/>
            <w:vAlign w:val="center"/>
          </w:tcPr>
          <w:p w14:paraId="17C6B5C1"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0.31 ± 0.01</w:t>
            </w:r>
          </w:p>
        </w:tc>
      </w:tr>
      <w:tr w:rsidR="00573608" w:rsidRPr="00AA5F9D" w14:paraId="382DB6C2" w14:textId="77777777" w:rsidTr="00B62085">
        <w:trPr>
          <w:cantSplit/>
          <w:trHeight w:val="300"/>
          <w:jc w:val="center"/>
        </w:trPr>
        <w:tc>
          <w:tcPr>
            <w:tcW w:w="2559" w:type="pct"/>
            <w:gridSpan w:val="3"/>
            <w:tcBorders>
              <w:top w:val="single" w:sz="4" w:space="0" w:color="auto"/>
              <w:left w:val="nil"/>
            </w:tcBorders>
            <w:shd w:val="clear" w:color="auto" w:fill="auto"/>
            <w:noWrap/>
            <w:vAlign w:val="center"/>
          </w:tcPr>
          <w:p w14:paraId="11EE621B"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 xml:space="preserve">Mean ± 1 </w:t>
            </w:r>
            <w:proofErr w:type="spellStart"/>
            <w:r w:rsidRPr="00AA5F9D">
              <w:rPr>
                <w:rFonts w:ascii="Helvetica" w:hAnsi="Helvetica"/>
                <w:sz w:val="20"/>
                <w:szCs w:val="20"/>
              </w:rPr>
              <w:t>s.d.</w:t>
            </w:r>
            <w:proofErr w:type="spellEnd"/>
          </w:p>
          <w:p w14:paraId="0136668D"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(c.v.)</w:t>
            </w:r>
          </w:p>
        </w:tc>
        <w:tc>
          <w:tcPr>
            <w:tcW w:w="767" w:type="pct"/>
            <w:tcBorders>
              <w:top w:val="single" w:sz="4" w:space="0" w:color="auto"/>
            </w:tcBorders>
            <w:shd w:val="clear" w:color="auto" w:fill="auto"/>
            <w:noWrap/>
            <w:vAlign w:val="center"/>
          </w:tcPr>
          <w:p w14:paraId="1F08E04E"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1.16 ± 0.50 (42.9%)</w:t>
            </w:r>
          </w:p>
        </w:tc>
        <w:tc>
          <w:tcPr>
            <w:tcW w:w="853" w:type="pct"/>
            <w:tcBorders>
              <w:top w:val="single" w:sz="4" w:space="0" w:color="auto"/>
            </w:tcBorders>
            <w:shd w:val="clear" w:color="auto" w:fill="auto"/>
            <w:noWrap/>
            <w:vAlign w:val="center"/>
          </w:tcPr>
          <w:p w14:paraId="3291C2D7"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8.68 ± 8.74 (100.6%)</w:t>
            </w:r>
          </w:p>
        </w:tc>
        <w:tc>
          <w:tcPr>
            <w:tcW w:w="821" w:type="pct"/>
            <w:tcBorders>
              <w:top w:val="single" w:sz="4" w:space="0" w:color="auto"/>
              <w:right w:val="nil"/>
            </w:tcBorders>
            <w:shd w:val="clear" w:color="auto" w:fill="auto"/>
            <w:noWrap/>
            <w:vAlign w:val="center"/>
          </w:tcPr>
          <w:p w14:paraId="1CEC816B" w14:textId="77777777" w:rsidR="00573608" w:rsidRPr="00AA5F9D" w:rsidRDefault="00573608" w:rsidP="00B62085">
            <w:pPr>
              <w:adjustRightInd w:val="0"/>
              <w:snapToGrid w:val="0"/>
              <w:spacing w:after="0" w:line="240" w:lineRule="auto"/>
              <w:rPr>
                <w:rFonts w:ascii="Helvetica" w:hAnsi="Helvetica"/>
                <w:sz w:val="20"/>
                <w:szCs w:val="20"/>
              </w:rPr>
            </w:pPr>
            <w:r w:rsidRPr="00AA5F9D">
              <w:rPr>
                <w:rFonts w:ascii="Helvetica" w:hAnsi="Helvetica"/>
                <w:sz w:val="20"/>
                <w:szCs w:val="20"/>
              </w:rPr>
              <w:t>0.69 ± 0.36 (51.6%)</w:t>
            </w:r>
          </w:p>
        </w:tc>
      </w:tr>
    </w:tbl>
    <w:p w14:paraId="4CC8FA3E" w14:textId="77777777" w:rsidR="00573608" w:rsidRPr="00AA5F9D" w:rsidRDefault="00573608" w:rsidP="00573608">
      <w:pPr>
        <w:adjustRightInd w:val="0"/>
        <w:snapToGrid w:val="0"/>
        <w:spacing w:line="240" w:lineRule="auto"/>
        <w:rPr>
          <w:b/>
          <w:bCs/>
        </w:rPr>
      </w:pPr>
    </w:p>
    <w:p w14:paraId="553502E0" w14:textId="77777777" w:rsidR="00573608" w:rsidRPr="00AA5F9D" w:rsidRDefault="00573608" w:rsidP="00573608">
      <w:pPr>
        <w:adjustRightInd w:val="0"/>
        <w:snapToGrid w:val="0"/>
        <w:spacing w:line="240" w:lineRule="auto"/>
        <w:rPr>
          <w:b/>
          <w:bCs/>
        </w:rPr>
      </w:pPr>
    </w:p>
    <w:p w14:paraId="4DF2441A" w14:textId="77777777" w:rsidR="00B94AB1" w:rsidRPr="00AA5F9D" w:rsidRDefault="00B94AB1" w:rsidP="00B94AB1">
      <w:pPr>
        <w:spacing w:line="240" w:lineRule="auto"/>
        <w:rPr>
          <w:b/>
          <w:bCs/>
        </w:rPr>
      </w:pPr>
    </w:p>
    <w:p w14:paraId="1C164513" w14:textId="77777777" w:rsidR="006E106D" w:rsidRPr="00AA5F9D" w:rsidRDefault="006E106D" w:rsidP="00B94AB1">
      <w:pPr>
        <w:spacing w:line="240" w:lineRule="auto"/>
        <w:rPr>
          <w:b/>
          <w:bCs/>
        </w:rPr>
      </w:pPr>
    </w:p>
    <w:p w14:paraId="5DAEE0B2" w14:textId="77777777" w:rsidR="00B249CF" w:rsidRDefault="00B249CF" w:rsidP="00B94AB1">
      <w:pPr>
        <w:spacing w:line="240" w:lineRule="auto"/>
        <w:rPr>
          <w:b/>
          <w:bCs/>
        </w:rPr>
      </w:pPr>
      <w:r>
        <w:rPr>
          <w:b/>
          <w:bCs/>
        </w:rPr>
        <w:br/>
      </w:r>
    </w:p>
    <w:p w14:paraId="23357032" w14:textId="77777777" w:rsidR="00B249CF" w:rsidRDefault="00B249CF">
      <w:pPr>
        <w:rPr>
          <w:b/>
          <w:bCs/>
        </w:rPr>
      </w:pPr>
      <w:r>
        <w:rPr>
          <w:b/>
          <w:bCs/>
        </w:rPr>
        <w:br w:type="page"/>
      </w:r>
    </w:p>
    <w:p w14:paraId="6DBC29DB" w14:textId="4A716BD8" w:rsidR="00573608" w:rsidRPr="00AA5F9D" w:rsidRDefault="00573608" w:rsidP="00B94AB1">
      <w:pPr>
        <w:spacing w:line="240" w:lineRule="auto"/>
        <w:rPr>
          <w:b/>
          <w:bCs/>
        </w:rPr>
      </w:pPr>
      <w:r w:rsidRPr="00AA5F9D">
        <w:rPr>
          <w:b/>
          <w:bCs/>
        </w:rPr>
        <w:lastRenderedPageBreak/>
        <w:t>Table S4</w:t>
      </w:r>
      <w:r w:rsidRPr="00AA5F9D">
        <w:t xml:space="preserve">. </w:t>
      </w:r>
      <w:r w:rsidRPr="00AA5F9D">
        <w:rPr>
          <w:bCs/>
          <w:lang w:eastAsia="en-AU"/>
        </w:rPr>
        <w:t xml:space="preserve">Radioelement concentrations (dry values) measured using </w:t>
      </w:r>
      <w:r w:rsidRPr="00AA5F9D">
        <w:rPr>
          <w:bCs/>
          <w:i/>
          <w:iCs/>
          <w:lang w:eastAsia="en-AU"/>
        </w:rPr>
        <w:t>in situ</w:t>
      </w:r>
      <w:r w:rsidRPr="00AA5F9D">
        <w:rPr>
          <w:bCs/>
          <w:lang w:eastAsia="en-AU"/>
        </w:rPr>
        <w:t xml:space="preserve"> gamma-ray spectrometry and water contents of host sediments associated with </w:t>
      </w:r>
      <w:r w:rsidR="00355264">
        <w:rPr>
          <w:bCs/>
          <w:lang w:eastAsia="en-AU"/>
        </w:rPr>
        <w:t>D</w:t>
      </w:r>
      <w:r w:rsidR="00355264" w:rsidRPr="00AA5F9D">
        <w:rPr>
          <w:bCs/>
          <w:lang w:eastAsia="en-AU"/>
        </w:rPr>
        <w:t xml:space="preserve">iprotodon </w:t>
      </w:r>
      <w:r w:rsidRPr="00AA5F9D">
        <w:rPr>
          <w:bCs/>
          <w:lang w:eastAsia="en-AU"/>
        </w:rPr>
        <w:t xml:space="preserve">fossils found elsewhere at Site 3. These data have been collected as part of an ongoing, independent OSL dating study taking place at Lake Callabonna. </w:t>
      </w:r>
    </w:p>
    <w:tbl>
      <w:tblPr>
        <w:tblW w:w="9357" w:type="dxa"/>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1865"/>
        <w:gridCol w:w="2084"/>
        <w:gridCol w:w="1527"/>
        <w:gridCol w:w="1383"/>
        <w:gridCol w:w="1446"/>
        <w:gridCol w:w="1216"/>
      </w:tblGrid>
      <w:tr w:rsidR="00AA5F9D" w:rsidRPr="00AA5F9D" w14:paraId="583417E6" w14:textId="77777777" w:rsidTr="00873AFB">
        <w:trPr>
          <w:trHeight w:val="315"/>
          <w:jc w:val="center"/>
        </w:trPr>
        <w:tc>
          <w:tcPr>
            <w:tcW w:w="0" w:type="auto"/>
            <w:tcBorders>
              <w:bottom w:val="single" w:sz="4" w:space="0" w:color="auto"/>
            </w:tcBorders>
            <w:shd w:val="clear" w:color="000000" w:fill="FFFFFF"/>
            <w:noWrap/>
            <w:vAlign w:val="bottom"/>
            <w:hideMark/>
          </w:tcPr>
          <w:p w14:paraId="669EB8A2"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OSL sample name</w:t>
            </w:r>
          </w:p>
        </w:tc>
        <w:tc>
          <w:tcPr>
            <w:tcW w:w="0" w:type="auto"/>
            <w:tcBorders>
              <w:bottom w:val="single" w:sz="4" w:space="0" w:color="auto"/>
            </w:tcBorders>
            <w:shd w:val="clear" w:color="000000" w:fill="FFFFFF"/>
            <w:noWrap/>
            <w:vAlign w:val="bottom"/>
            <w:hideMark/>
          </w:tcPr>
          <w:p w14:paraId="721E0547"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 xml:space="preserve">location / </w:t>
            </w:r>
          </w:p>
          <w:p w14:paraId="04BD5A40"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association</w:t>
            </w:r>
          </w:p>
        </w:tc>
        <w:tc>
          <w:tcPr>
            <w:tcW w:w="1527" w:type="dxa"/>
            <w:tcBorders>
              <w:bottom w:val="single" w:sz="4" w:space="0" w:color="auto"/>
            </w:tcBorders>
            <w:shd w:val="clear" w:color="000000" w:fill="FFFFFF"/>
            <w:noWrap/>
            <w:vAlign w:val="bottom"/>
            <w:hideMark/>
          </w:tcPr>
          <w:p w14:paraId="6F3BFA7A"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Moisture</w:t>
            </w:r>
          </w:p>
          <w:p w14:paraId="6B05011F"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 dry weight)</w:t>
            </w:r>
          </w:p>
        </w:tc>
        <w:tc>
          <w:tcPr>
            <w:tcW w:w="1383" w:type="dxa"/>
            <w:tcBorders>
              <w:bottom w:val="single" w:sz="4" w:space="0" w:color="auto"/>
            </w:tcBorders>
            <w:shd w:val="clear" w:color="000000" w:fill="FFFFFF"/>
            <w:noWrap/>
            <w:vAlign w:val="bottom"/>
            <w:hideMark/>
          </w:tcPr>
          <w:p w14:paraId="3A08E432"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U (ppm)</w:t>
            </w:r>
          </w:p>
        </w:tc>
        <w:tc>
          <w:tcPr>
            <w:tcW w:w="1446" w:type="dxa"/>
            <w:tcBorders>
              <w:bottom w:val="single" w:sz="4" w:space="0" w:color="auto"/>
            </w:tcBorders>
            <w:shd w:val="clear" w:color="000000" w:fill="FFFFFF"/>
            <w:noWrap/>
            <w:vAlign w:val="bottom"/>
            <w:hideMark/>
          </w:tcPr>
          <w:p w14:paraId="0227153B"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Th (ppm)</w:t>
            </w:r>
          </w:p>
        </w:tc>
        <w:tc>
          <w:tcPr>
            <w:tcW w:w="0" w:type="auto"/>
            <w:tcBorders>
              <w:bottom w:val="single" w:sz="4" w:space="0" w:color="auto"/>
            </w:tcBorders>
            <w:shd w:val="clear" w:color="000000" w:fill="FFFFFF"/>
            <w:noWrap/>
            <w:vAlign w:val="bottom"/>
            <w:hideMark/>
          </w:tcPr>
          <w:p w14:paraId="30661B5A"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K (%)</w:t>
            </w:r>
          </w:p>
        </w:tc>
      </w:tr>
      <w:tr w:rsidR="00AA5F9D" w:rsidRPr="00AA5F9D" w14:paraId="200A080F" w14:textId="77777777" w:rsidTr="00873AFB">
        <w:trPr>
          <w:trHeight w:val="315"/>
          <w:jc w:val="center"/>
        </w:trPr>
        <w:tc>
          <w:tcPr>
            <w:tcW w:w="0" w:type="auto"/>
            <w:tcBorders>
              <w:top w:val="single" w:sz="4" w:space="0" w:color="auto"/>
              <w:bottom w:val="nil"/>
            </w:tcBorders>
            <w:shd w:val="clear" w:color="000000" w:fill="FFFFFF"/>
            <w:noWrap/>
            <w:vAlign w:val="bottom"/>
            <w:hideMark/>
          </w:tcPr>
          <w:p w14:paraId="6185B8FB"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LC18-1</w:t>
            </w:r>
          </w:p>
        </w:tc>
        <w:tc>
          <w:tcPr>
            <w:tcW w:w="0" w:type="auto"/>
            <w:tcBorders>
              <w:top w:val="single" w:sz="4" w:space="0" w:color="auto"/>
              <w:bottom w:val="nil"/>
            </w:tcBorders>
            <w:shd w:val="clear" w:color="000000" w:fill="FFFFFF"/>
            <w:noWrap/>
            <w:vAlign w:val="bottom"/>
            <w:hideMark/>
          </w:tcPr>
          <w:p w14:paraId="62165AA2"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site 3 CB2018-8</w:t>
            </w:r>
          </w:p>
        </w:tc>
        <w:tc>
          <w:tcPr>
            <w:tcW w:w="1527" w:type="dxa"/>
            <w:tcBorders>
              <w:top w:val="single" w:sz="4" w:space="0" w:color="auto"/>
              <w:bottom w:val="nil"/>
            </w:tcBorders>
            <w:shd w:val="clear" w:color="000000" w:fill="FFFFFF"/>
            <w:noWrap/>
            <w:vAlign w:val="bottom"/>
            <w:hideMark/>
          </w:tcPr>
          <w:p w14:paraId="0E9FF6CF"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45.0</w:t>
            </w:r>
          </w:p>
        </w:tc>
        <w:tc>
          <w:tcPr>
            <w:tcW w:w="1383" w:type="dxa"/>
            <w:tcBorders>
              <w:top w:val="single" w:sz="4" w:space="0" w:color="auto"/>
              <w:bottom w:val="nil"/>
            </w:tcBorders>
            <w:shd w:val="clear" w:color="000000" w:fill="FFFFFF"/>
            <w:noWrap/>
            <w:vAlign w:val="bottom"/>
            <w:hideMark/>
          </w:tcPr>
          <w:p w14:paraId="29CC23A4"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3.80 ± 0.25</w:t>
            </w:r>
          </w:p>
        </w:tc>
        <w:tc>
          <w:tcPr>
            <w:tcW w:w="1446" w:type="dxa"/>
            <w:tcBorders>
              <w:top w:val="single" w:sz="4" w:space="0" w:color="auto"/>
              <w:bottom w:val="nil"/>
            </w:tcBorders>
            <w:shd w:val="clear" w:color="000000" w:fill="FFFFFF"/>
            <w:noWrap/>
            <w:vAlign w:val="bottom"/>
            <w:hideMark/>
          </w:tcPr>
          <w:p w14:paraId="17800626"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9.69 ± 0.57</w:t>
            </w:r>
          </w:p>
        </w:tc>
        <w:tc>
          <w:tcPr>
            <w:tcW w:w="0" w:type="auto"/>
            <w:tcBorders>
              <w:top w:val="single" w:sz="4" w:space="0" w:color="auto"/>
              <w:bottom w:val="nil"/>
            </w:tcBorders>
            <w:shd w:val="clear" w:color="000000" w:fill="FFFFFF"/>
            <w:noWrap/>
            <w:vAlign w:val="bottom"/>
            <w:hideMark/>
          </w:tcPr>
          <w:p w14:paraId="2578A2CB"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1.40 ± 0.08</w:t>
            </w:r>
          </w:p>
        </w:tc>
      </w:tr>
      <w:tr w:rsidR="00AA5F9D" w:rsidRPr="00AA5F9D" w14:paraId="5A49F4DB" w14:textId="77777777" w:rsidTr="00873AFB">
        <w:trPr>
          <w:trHeight w:val="300"/>
          <w:jc w:val="center"/>
        </w:trPr>
        <w:tc>
          <w:tcPr>
            <w:tcW w:w="0" w:type="auto"/>
            <w:tcBorders>
              <w:top w:val="nil"/>
              <w:bottom w:val="nil"/>
            </w:tcBorders>
            <w:shd w:val="clear" w:color="000000" w:fill="FFFFFF"/>
            <w:noWrap/>
            <w:vAlign w:val="bottom"/>
            <w:hideMark/>
          </w:tcPr>
          <w:p w14:paraId="3BE3F7C6"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LC18-2</w:t>
            </w:r>
          </w:p>
        </w:tc>
        <w:tc>
          <w:tcPr>
            <w:tcW w:w="0" w:type="auto"/>
            <w:tcBorders>
              <w:top w:val="nil"/>
              <w:bottom w:val="nil"/>
            </w:tcBorders>
            <w:shd w:val="clear" w:color="000000" w:fill="FFFFFF"/>
            <w:noWrap/>
            <w:vAlign w:val="bottom"/>
            <w:hideMark/>
          </w:tcPr>
          <w:p w14:paraId="33A535FB"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site 3 CB2018-8</w:t>
            </w:r>
          </w:p>
        </w:tc>
        <w:tc>
          <w:tcPr>
            <w:tcW w:w="1527" w:type="dxa"/>
            <w:tcBorders>
              <w:top w:val="nil"/>
              <w:bottom w:val="nil"/>
            </w:tcBorders>
            <w:shd w:val="clear" w:color="000000" w:fill="FFFFFF"/>
            <w:noWrap/>
            <w:vAlign w:val="bottom"/>
            <w:hideMark/>
          </w:tcPr>
          <w:p w14:paraId="6414A9DC"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45.6</w:t>
            </w:r>
          </w:p>
        </w:tc>
        <w:tc>
          <w:tcPr>
            <w:tcW w:w="1383" w:type="dxa"/>
            <w:tcBorders>
              <w:top w:val="nil"/>
              <w:bottom w:val="nil"/>
            </w:tcBorders>
            <w:shd w:val="clear" w:color="000000" w:fill="FFFFFF"/>
            <w:noWrap/>
            <w:vAlign w:val="bottom"/>
            <w:hideMark/>
          </w:tcPr>
          <w:p w14:paraId="07C5484C"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2.22 ± 0.18</w:t>
            </w:r>
          </w:p>
        </w:tc>
        <w:tc>
          <w:tcPr>
            <w:tcW w:w="1446" w:type="dxa"/>
            <w:tcBorders>
              <w:top w:val="nil"/>
              <w:bottom w:val="nil"/>
            </w:tcBorders>
            <w:shd w:val="clear" w:color="000000" w:fill="FFFFFF"/>
            <w:noWrap/>
            <w:vAlign w:val="bottom"/>
            <w:hideMark/>
          </w:tcPr>
          <w:p w14:paraId="36734A40"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9.02 ± 0.54</w:t>
            </w:r>
          </w:p>
        </w:tc>
        <w:tc>
          <w:tcPr>
            <w:tcW w:w="0" w:type="auto"/>
            <w:tcBorders>
              <w:top w:val="nil"/>
              <w:bottom w:val="nil"/>
            </w:tcBorders>
            <w:shd w:val="clear" w:color="000000" w:fill="FFFFFF"/>
            <w:noWrap/>
            <w:vAlign w:val="bottom"/>
            <w:hideMark/>
          </w:tcPr>
          <w:p w14:paraId="7FF44D64"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1.35 ± 0.07</w:t>
            </w:r>
          </w:p>
        </w:tc>
      </w:tr>
      <w:tr w:rsidR="00AA5F9D" w:rsidRPr="00AA5F9D" w14:paraId="00ABAD8E" w14:textId="77777777" w:rsidTr="00873AFB">
        <w:trPr>
          <w:trHeight w:val="300"/>
          <w:jc w:val="center"/>
        </w:trPr>
        <w:tc>
          <w:tcPr>
            <w:tcW w:w="0" w:type="auto"/>
            <w:tcBorders>
              <w:top w:val="nil"/>
              <w:bottom w:val="nil"/>
            </w:tcBorders>
            <w:shd w:val="clear" w:color="000000" w:fill="FFFFFF"/>
            <w:noWrap/>
            <w:vAlign w:val="bottom"/>
            <w:hideMark/>
          </w:tcPr>
          <w:p w14:paraId="6243553E"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LC18-3</w:t>
            </w:r>
          </w:p>
        </w:tc>
        <w:tc>
          <w:tcPr>
            <w:tcW w:w="0" w:type="auto"/>
            <w:tcBorders>
              <w:top w:val="nil"/>
              <w:bottom w:val="nil"/>
            </w:tcBorders>
            <w:shd w:val="clear" w:color="000000" w:fill="FFFFFF"/>
            <w:noWrap/>
            <w:vAlign w:val="bottom"/>
            <w:hideMark/>
          </w:tcPr>
          <w:p w14:paraId="4C2A03A4"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site 3 CB2018-14</w:t>
            </w:r>
          </w:p>
        </w:tc>
        <w:tc>
          <w:tcPr>
            <w:tcW w:w="1527" w:type="dxa"/>
            <w:tcBorders>
              <w:top w:val="nil"/>
              <w:bottom w:val="nil"/>
            </w:tcBorders>
            <w:shd w:val="clear" w:color="000000" w:fill="FFFFFF"/>
            <w:noWrap/>
            <w:vAlign w:val="bottom"/>
            <w:hideMark/>
          </w:tcPr>
          <w:p w14:paraId="02DA7570"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43.7</w:t>
            </w:r>
          </w:p>
        </w:tc>
        <w:tc>
          <w:tcPr>
            <w:tcW w:w="1383" w:type="dxa"/>
            <w:tcBorders>
              <w:top w:val="nil"/>
              <w:bottom w:val="nil"/>
            </w:tcBorders>
            <w:shd w:val="clear" w:color="000000" w:fill="FFFFFF"/>
            <w:noWrap/>
            <w:vAlign w:val="bottom"/>
            <w:hideMark/>
          </w:tcPr>
          <w:p w14:paraId="11D7E869"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2.05 ± 0.17</w:t>
            </w:r>
          </w:p>
        </w:tc>
        <w:tc>
          <w:tcPr>
            <w:tcW w:w="1446" w:type="dxa"/>
            <w:tcBorders>
              <w:top w:val="nil"/>
              <w:bottom w:val="nil"/>
            </w:tcBorders>
            <w:shd w:val="clear" w:color="000000" w:fill="FFFFFF"/>
            <w:noWrap/>
            <w:vAlign w:val="bottom"/>
            <w:hideMark/>
          </w:tcPr>
          <w:p w14:paraId="22FBC9C2"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8.30 ± 0.50</w:t>
            </w:r>
          </w:p>
        </w:tc>
        <w:tc>
          <w:tcPr>
            <w:tcW w:w="0" w:type="auto"/>
            <w:tcBorders>
              <w:top w:val="nil"/>
              <w:bottom w:val="nil"/>
            </w:tcBorders>
            <w:shd w:val="clear" w:color="000000" w:fill="FFFFFF"/>
            <w:noWrap/>
            <w:vAlign w:val="bottom"/>
            <w:hideMark/>
          </w:tcPr>
          <w:p w14:paraId="3077D824"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1.12 ± 0.06</w:t>
            </w:r>
          </w:p>
        </w:tc>
      </w:tr>
      <w:tr w:rsidR="00AA5F9D" w:rsidRPr="00AA5F9D" w14:paraId="4D71FBC0" w14:textId="77777777" w:rsidTr="00873AFB">
        <w:trPr>
          <w:trHeight w:val="300"/>
          <w:jc w:val="center"/>
        </w:trPr>
        <w:tc>
          <w:tcPr>
            <w:tcW w:w="0" w:type="auto"/>
            <w:tcBorders>
              <w:top w:val="nil"/>
              <w:bottom w:val="nil"/>
            </w:tcBorders>
            <w:shd w:val="clear" w:color="000000" w:fill="FFFFFF"/>
            <w:noWrap/>
            <w:vAlign w:val="bottom"/>
            <w:hideMark/>
          </w:tcPr>
          <w:p w14:paraId="552DD735"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LC14-6</w:t>
            </w:r>
          </w:p>
        </w:tc>
        <w:tc>
          <w:tcPr>
            <w:tcW w:w="0" w:type="auto"/>
            <w:tcBorders>
              <w:top w:val="nil"/>
              <w:bottom w:val="nil"/>
            </w:tcBorders>
            <w:shd w:val="clear" w:color="000000" w:fill="FFFFFF"/>
            <w:noWrap/>
            <w:vAlign w:val="bottom"/>
            <w:hideMark/>
          </w:tcPr>
          <w:p w14:paraId="5AA5F60D"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site 3 bluff trench</w:t>
            </w:r>
          </w:p>
        </w:tc>
        <w:tc>
          <w:tcPr>
            <w:tcW w:w="1527" w:type="dxa"/>
            <w:tcBorders>
              <w:top w:val="nil"/>
              <w:bottom w:val="nil"/>
            </w:tcBorders>
            <w:shd w:val="clear" w:color="000000" w:fill="FFFFFF"/>
            <w:noWrap/>
            <w:vAlign w:val="bottom"/>
            <w:hideMark/>
          </w:tcPr>
          <w:p w14:paraId="2BDD484F"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32.2</w:t>
            </w:r>
          </w:p>
        </w:tc>
        <w:tc>
          <w:tcPr>
            <w:tcW w:w="1383" w:type="dxa"/>
            <w:tcBorders>
              <w:top w:val="nil"/>
              <w:bottom w:val="nil"/>
            </w:tcBorders>
            <w:shd w:val="clear" w:color="000000" w:fill="FFFFFF"/>
            <w:noWrap/>
            <w:vAlign w:val="bottom"/>
            <w:hideMark/>
          </w:tcPr>
          <w:p w14:paraId="632BD4A4"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1.91 ± 0.16</w:t>
            </w:r>
          </w:p>
        </w:tc>
        <w:tc>
          <w:tcPr>
            <w:tcW w:w="1446" w:type="dxa"/>
            <w:tcBorders>
              <w:top w:val="nil"/>
              <w:bottom w:val="nil"/>
            </w:tcBorders>
            <w:shd w:val="clear" w:color="000000" w:fill="FFFFFF"/>
            <w:noWrap/>
            <w:vAlign w:val="bottom"/>
            <w:hideMark/>
          </w:tcPr>
          <w:p w14:paraId="23897E88"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7.75 ± 0.47</w:t>
            </w:r>
          </w:p>
        </w:tc>
        <w:tc>
          <w:tcPr>
            <w:tcW w:w="0" w:type="auto"/>
            <w:tcBorders>
              <w:top w:val="nil"/>
              <w:bottom w:val="nil"/>
            </w:tcBorders>
            <w:shd w:val="clear" w:color="000000" w:fill="FFFFFF"/>
            <w:noWrap/>
            <w:vAlign w:val="bottom"/>
            <w:hideMark/>
          </w:tcPr>
          <w:p w14:paraId="6CC7F0E9"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1.10 ± 0.06</w:t>
            </w:r>
          </w:p>
        </w:tc>
      </w:tr>
      <w:tr w:rsidR="00AA5F9D" w:rsidRPr="00AA5F9D" w14:paraId="69AC051E" w14:textId="77777777" w:rsidTr="00873AFB">
        <w:trPr>
          <w:trHeight w:val="300"/>
          <w:jc w:val="center"/>
        </w:trPr>
        <w:tc>
          <w:tcPr>
            <w:tcW w:w="0" w:type="auto"/>
            <w:tcBorders>
              <w:top w:val="nil"/>
              <w:bottom w:val="nil"/>
            </w:tcBorders>
            <w:shd w:val="clear" w:color="000000" w:fill="FFFFFF"/>
            <w:noWrap/>
            <w:vAlign w:val="bottom"/>
            <w:hideMark/>
          </w:tcPr>
          <w:p w14:paraId="28D3DE2D"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LC14-7</w:t>
            </w:r>
          </w:p>
        </w:tc>
        <w:tc>
          <w:tcPr>
            <w:tcW w:w="0" w:type="auto"/>
            <w:tcBorders>
              <w:top w:val="nil"/>
              <w:bottom w:val="nil"/>
            </w:tcBorders>
            <w:shd w:val="clear" w:color="000000" w:fill="FFFFFF"/>
            <w:noWrap/>
            <w:vAlign w:val="bottom"/>
            <w:hideMark/>
          </w:tcPr>
          <w:p w14:paraId="62FF2DA0"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site 3 bluff trench</w:t>
            </w:r>
          </w:p>
        </w:tc>
        <w:tc>
          <w:tcPr>
            <w:tcW w:w="1527" w:type="dxa"/>
            <w:tcBorders>
              <w:top w:val="nil"/>
              <w:bottom w:val="nil"/>
            </w:tcBorders>
            <w:shd w:val="clear" w:color="000000" w:fill="FFFFFF"/>
            <w:noWrap/>
            <w:vAlign w:val="bottom"/>
            <w:hideMark/>
          </w:tcPr>
          <w:p w14:paraId="728645B0"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28.6</w:t>
            </w:r>
          </w:p>
        </w:tc>
        <w:tc>
          <w:tcPr>
            <w:tcW w:w="1383" w:type="dxa"/>
            <w:tcBorders>
              <w:top w:val="nil"/>
              <w:bottom w:val="nil"/>
            </w:tcBorders>
            <w:shd w:val="clear" w:color="000000" w:fill="FFFFFF"/>
            <w:noWrap/>
            <w:vAlign w:val="bottom"/>
            <w:hideMark/>
          </w:tcPr>
          <w:p w14:paraId="242C66BA"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2.12 ± 0.16</w:t>
            </w:r>
          </w:p>
        </w:tc>
        <w:tc>
          <w:tcPr>
            <w:tcW w:w="1446" w:type="dxa"/>
            <w:tcBorders>
              <w:top w:val="nil"/>
              <w:bottom w:val="nil"/>
            </w:tcBorders>
            <w:shd w:val="clear" w:color="000000" w:fill="FFFFFF"/>
            <w:noWrap/>
            <w:vAlign w:val="bottom"/>
            <w:hideMark/>
          </w:tcPr>
          <w:p w14:paraId="566DB5BA"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7.50 ± 0.45</w:t>
            </w:r>
          </w:p>
        </w:tc>
        <w:tc>
          <w:tcPr>
            <w:tcW w:w="0" w:type="auto"/>
            <w:tcBorders>
              <w:top w:val="nil"/>
              <w:bottom w:val="nil"/>
            </w:tcBorders>
            <w:shd w:val="clear" w:color="000000" w:fill="FFFFFF"/>
            <w:noWrap/>
            <w:vAlign w:val="bottom"/>
            <w:hideMark/>
          </w:tcPr>
          <w:p w14:paraId="49E17756"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1.03 ± 0.06</w:t>
            </w:r>
          </w:p>
        </w:tc>
      </w:tr>
      <w:tr w:rsidR="00AA5F9D" w:rsidRPr="00AA5F9D" w14:paraId="7107F4A3" w14:textId="77777777" w:rsidTr="00873AFB">
        <w:trPr>
          <w:trHeight w:val="300"/>
          <w:jc w:val="center"/>
        </w:trPr>
        <w:tc>
          <w:tcPr>
            <w:tcW w:w="0" w:type="auto"/>
            <w:tcBorders>
              <w:top w:val="nil"/>
            </w:tcBorders>
            <w:shd w:val="clear" w:color="000000" w:fill="FFFFFF"/>
            <w:noWrap/>
            <w:vAlign w:val="bottom"/>
            <w:hideMark/>
          </w:tcPr>
          <w:p w14:paraId="074D38CD"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LC14-8</w:t>
            </w:r>
          </w:p>
        </w:tc>
        <w:tc>
          <w:tcPr>
            <w:tcW w:w="0" w:type="auto"/>
            <w:tcBorders>
              <w:top w:val="nil"/>
            </w:tcBorders>
            <w:shd w:val="clear" w:color="000000" w:fill="FFFFFF"/>
            <w:noWrap/>
            <w:vAlign w:val="bottom"/>
            <w:hideMark/>
          </w:tcPr>
          <w:p w14:paraId="3888CF57"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site 3 bluff trench</w:t>
            </w:r>
          </w:p>
        </w:tc>
        <w:tc>
          <w:tcPr>
            <w:tcW w:w="1527" w:type="dxa"/>
            <w:tcBorders>
              <w:top w:val="nil"/>
            </w:tcBorders>
            <w:shd w:val="clear" w:color="000000" w:fill="FFFFFF"/>
            <w:noWrap/>
            <w:vAlign w:val="bottom"/>
            <w:hideMark/>
          </w:tcPr>
          <w:p w14:paraId="7386FF4A"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35.7</w:t>
            </w:r>
          </w:p>
        </w:tc>
        <w:tc>
          <w:tcPr>
            <w:tcW w:w="1383" w:type="dxa"/>
            <w:tcBorders>
              <w:top w:val="nil"/>
            </w:tcBorders>
            <w:shd w:val="clear" w:color="000000" w:fill="FFFFFF"/>
            <w:noWrap/>
            <w:vAlign w:val="bottom"/>
            <w:hideMark/>
          </w:tcPr>
          <w:p w14:paraId="1CFCAD0D"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1.92 ± 0.16</w:t>
            </w:r>
          </w:p>
        </w:tc>
        <w:tc>
          <w:tcPr>
            <w:tcW w:w="1446" w:type="dxa"/>
            <w:tcBorders>
              <w:top w:val="nil"/>
            </w:tcBorders>
            <w:shd w:val="clear" w:color="000000" w:fill="FFFFFF"/>
            <w:noWrap/>
            <w:vAlign w:val="bottom"/>
            <w:hideMark/>
          </w:tcPr>
          <w:p w14:paraId="2487863E"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8.89 ± 0.53</w:t>
            </w:r>
          </w:p>
        </w:tc>
        <w:tc>
          <w:tcPr>
            <w:tcW w:w="0" w:type="auto"/>
            <w:tcBorders>
              <w:top w:val="nil"/>
            </w:tcBorders>
            <w:shd w:val="clear" w:color="000000" w:fill="FFFFFF"/>
            <w:noWrap/>
            <w:vAlign w:val="bottom"/>
            <w:hideMark/>
          </w:tcPr>
          <w:p w14:paraId="7E35CD0A"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1.34 ± 0.07</w:t>
            </w:r>
          </w:p>
        </w:tc>
      </w:tr>
      <w:tr w:rsidR="00AA5F9D" w:rsidRPr="00AA5F9D" w14:paraId="2E12A0F8" w14:textId="77777777" w:rsidTr="00873AFB">
        <w:trPr>
          <w:trHeight w:val="300"/>
          <w:jc w:val="center"/>
        </w:trPr>
        <w:tc>
          <w:tcPr>
            <w:tcW w:w="9357" w:type="dxa"/>
            <w:gridSpan w:val="6"/>
            <w:tcBorders>
              <w:bottom w:val="single" w:sz="4" w:space="0" w:color="auto"/>
            </w:tcBorders>
            <w:shd w:val="clear" w:color="auto" w:fill="auto"/>
            <w:noWrap/>
            <w:vAlign w:val="bottom"/>
            <w:hideMark/>
          </w:tcPr>
          <w:p w14:paraId="594102BB"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Mean values</w:t>
            </w:r>
          </w:p>
        </w:tc>
      </w:tr>
      <w:tr w:rsidR="00AA5F9D" w:rsidRPr="00AA5F9D" w14:paraId="1DCBBD45" w14:textId="77777777" w:rsidTr="00873AFB">
        <w:trPr>
          <w:trHeight w:val="300"/>
          <w:jc w:val="center"/>
        </w:trPr>
        <w:tc>
          <w:tcPr>
            <w:tcW w:w="0" w:type="auto"/>
            <w:tcBorders>
              <w:top w:val="single" w:sz="4" w:space="0" w:color="auto"/>
              <w:bottom w:val="nil"/>
            </w:tcBorders>
            <w:shd w:val="clear" w:color="000000" w:fill="FFFFFF"/>
            <w:noWrap/>
            <w:vAlign w:val="bottom"/>
            <w:hideMark/>
          </w:tcPr>
          <w:p w14:paraId="1BB60630"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LC18 mean</w:t>
            </w:r>
          </w:p>
        </w:tc>
        <w:tc>
          <w:tcPr>
            <w:tcW w:w="0" w:type="auto"/>
            <w:tcBorders>
              <w:top w:val="single" w:sz="4" w:space="0" w:color="auto"/>
              <w:bottom w:val="nil"/>
            </w:tcBorders>
            <w:shd w:val="clear" w:color="auto" w:fill="auto"/>
            <w:noWrap/>
            <w:vAlign w:val="bottom"/>
            <w:hideMark/>
          </w:tcPr>
          <w:p w14:paraId="31182CD7"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site 3 CB2018 fossils</w:t>
            </w:r>
          </w:p>
        </w:tc>
        <w:tc>
          <w:tcPr>
            <w:tcW w:w="1527" w:type="dxa"/>
            <w:tcBorders>
              <w:top w:val="single" w:sz="4" w:space="0" w:color="auto"/>
              <w:bottom w:val="nil"/>
            </w:tcBorders>
            <w:shd w:val="clear" w:color="auto" w:fill="auto"/>
            <w:noWrap/>
            <w:vAlign w:val="bottom"/>
            <w:hideMark/>
          </w:tcPr>
          <w:p w14:paraId="077CFFF0"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44.7</w:t>
            </w:r>
          </w:p>
        </w:tc>
        <w:tc>
          <w:tcPr>
            <w:tcW w:w="1383" w:type="dxa"/>
            <w:tcBorders>
              <w:top w:val="single" w:sz="4" w:space="0" w:color="auto"/>
              <w:bottom w:val="nil"/>
            </w:tcBorders>
            <w:shd w:val="clear" w:color="auto" w:fill="auto"/>
            <w:noWrap/>
            <w:vAlign w:val="bottom"/>
            <w:hideMark/>
          </w:tcPr>
          <w:p w14:paraId="617346C5"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2.69 ± 0.20</w:t>
            </w:r>
          </w:p>
        </w:tc>
        <w:tc>
          <w:tcPr>
            <w:tcW w:w="1446" w:type="dxa"/>
            <w:tcBorders>
              <w:top w:val="single" w:sz="4" w:space="0" w:color="auto"/>
              <w:bottom w:val="nil"/>
            </w:tcBorders>
            <w:shd w:val="clear" w:color="auto" w:fill="auto"/>
            <w:noWrap/>
            <w:vAlign w:val="bottom"/>
            <w:hideMark/>
          </w:tcPr>
          <w:p w14:paraId="1E6ED054"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9.00 ± 0.54</w:t>
            </w:r>
          </w:p>
        </w:tc>
        <w:tc>
          <w:tcPr>
            <w:tcW w:w="0" w:type="auto"/>
            <w:tcBorders>
              <w:top w:val="single" w:sz="4" w:space="0" w:color="auto"/>
              <w:bottom w:val="nil"/>
            </w:tcBorders>
            <w:shd w:val="clear" w:color="auto" w:fill="auto"/>
            <w:noWrap/>
            <w:vAlign w:val="bottom"/>
            <w:hideMark/>
          </w:tcPr>
          <w:p w14:paraId="1C3AFB69"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1.29 ± 0.07</w:t>
            </w:r>
          </w:p>
        </w:tc>
      </w:tr>
      <w:tr w:rsidR="00AA5F9D" w:rsidRPr="00AA5F9D" w14:paraId="54229E00" w14:textId="77777777" w:rsidTr="00873AFB">
        <w:trPr>
          <w:trHeight w:val="300"/>
          <w:jc w:val="center"/>
        </w:trPr>
        <w:tc>
          <w:tcPr>
            <w:tcW w:w="0" w:type="auto"/>
            <w:tcBorders>
              <w:top w:val="nil"/>
              <w:bottom w:val="nil"/>
            </w:tcBorders>
            <w:shd w:val="clear" w:color="000000" w:fill="FFFFFF"/>
            <w:noWrap/>
            <w:vAlign w:val="bottom"/>
            <w:hideMark/>
          </w:tcPr>
          <w:p w14:paraId="2C28B68A"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LC14 mean</w:t>
            </w:r>
          </w:p>
        </w:tc>
        <w:tc>
          <w:tcPr>
            <w:tcW w:w="0" w:type="auto"/>
            <w:tcBorders>
              <w:top w:val="nil"/>
              <w:bottom w:val="nil"/>
            </w:tcBorders>
            <w:shd w:val="clear" w:color="auto" w:fill="auto"/>
            <w:noWrap/>
            <w:vAlign w:val="bottom"/>
            <w:hideMark/>
          </w:tcPr>
          <w:p w14:paraId="30EFA7FF"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site 3 bluff trench</w:t>
            </w:r>
          </w:p>
        </w:tc>
        <w:tc>
          <w:tcPr>
            <w:tcW w:w="1527" w:type="dxa"/>
            <w:tcBorders>
              <w:top w:val="nil"/>
              <w:bottom w:val="nil"/>
            </w:tcBorders>
            <w:shd w:val="clear" w:color="auto" w:fill="auto"/>
            <w:noWrap/>
            <w:vAlign w:val="bottom"/>
            <w:hideMark/>
          </w:tcPr>
          <w:p w14:paraId="750CAFA2"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32.2</w:t>
            </w:r>
          </w:p>
        </w:tc>
        <w:tc>
          <w:tcPr>
            <w:tcW w:w="1383" w:type="dxa"/>
            <w:tcBorders>
              <w:top w:val="nil"/>
              <w:bottom w:val="nil"/>
            </w:tcBorders>
            <w:shd w:val="clear" w:color="auto" w:fill="auto"/>
            <w:noWrap/>
            <w:vAlign w:val="bottom"/>
            <w:hideMark/>
          </w:tcPr>
          <w:p w14:paraId="02BADD6E"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1.99 ± 0.17</w:t>
            </w:r>
          </w:p>
        </w:tc>
        <w:tc>
          <w:tcPr>
            <w:tcW w:w="1446" w:type="dxa"/>
            <w:tcBorders>
              <w:top w:val="nil"/>
              <w:bottom w:val="nil"/>
            </w:tcBorders>
            <w:shd w:val="clear" w:color="auto" w:fill="auto"/>
            <w:noWrap/>
            <w:vAlign w:val="bottom"/>
            <w:hideMark/>
          </w:tcPr>
          <w:p w14:paraId="55CD76F0"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8.04 ± 0.50</w:t>
            </w:r>
          </w:p>
        </w:tc>
        <w:tc>
          <w:tcPr>
            <w:tcW w:w="0" w:type="auto"/>
            <w:tcBorders>
              <w:top w:val="nil"/>
              <w:bottom w:val="nil"/>
            </w:tcBorders>
            <w:shd w:val="clear" w:color="auto" w:fill="auto"/>
            <w:noWrap/>
            <w:vAlign w:val="bottom"/>
            <w:hideMark/>
          </w:tcPr>
          <w:p w14:paraId="4658B4F3"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1.16 ± 0.06</w:t>
            </w:r>
          </w:p>
        </w:tc>
      </w:tr>
      <w:tr w:rsidR="00AA5F9D" w:rsidRPr="00AA5F9D" w14:paraId="3A650940" w14:textId="77777777" w:rsidTr="00873AFB">
        <w:trPr>
          <w:trHeight w:val="300"/>
          <w:jc w:val="center"/>
        </w:trPr>
        <w:tc>
          <w:tcPr>
            <w:tcW w:w="0" w:type="auto"/>
            <w:tcBorders>
              <w:top w:val="nil"/>
            </w:tcBorders>
            <w:shd w:val="clear" w:color="000000" w:fill="FFFFFF"/>
            <w:noWrap/>
            <w:vAlign w:val="bottom"/>
            <w:hideMark/>
          </w:tcPr>
          <w:p w14:paraId="4F144A07"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combined mean</w:t>
            </w:r>
          </w:p>
        </w:tc>
        <w:tc>
          <w:tcPr>
            <w:tcW w:w="0" w:type="auto"/>
            <w:tcBorders>
              <w:top w:val="nil"/>
            </w:tcBorders>
            <w:shd w:val="clear" w:color="auto" w:fill="auto"/>
            <w:noWrap/>
            <w:vAlign w:val="bottom"/>
            <w:hideMark/>
          </w:tcPr>
          <w:p w14:paraId="5868DB30"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site 3</w:t>
            </w:r>
          </w:p>
        </w:tc>
        <w:tc>
          <w:tcPr>
            <w:tcW w:w="1527" w:type="dxa"/>
            <w:tcBorders>
              <w:top w:val="nil"/>
            </w:tcBorders>
            <w:shd w:val="clear" w:color="auto" w:fill="auto"/>
            <w:noWrap/>
            <w:vAlign w:val="bottom"/>
            <w:hideMark/>
          </w:tcPr>
          <w:p w14:paraId="49ADA8D0"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38.5</w:t>
            </w:r>
          </w:p>
        </w:tc>
        <w:tc>
          <w:tcPr>
            <w:tcW w:w="1383" w:type="dxa"/>
            <w:tcBorders>
              <w:top w:val="nil"/>
            </w:tcBorders>
            <w:shd w:val="clear" w:color="auto" w:fill="auto"/>
            <w:noWrap/>
            <w:vAlign w:val="bottom"/>
            <w:hideMark/>
          </w:tcPr>
          <w:p w14:paraId="26320E61"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2.34 ± 0.16</w:t>
            </w:r>
          </w:p>
        </w:tc>
        <w:tc>
          <w:tcPr>
            <w:tcW w:w="1446" w:type="dxa"/>
            <w:tcBorders>
              <w:top w:val="nil"/>
            </w:tcBorders>
            <w:shd w:val="clear" w:color="auto" w:fill="auto"/>
            <w:noWrap/>
            <w:vAlign w:val="bottom"/>
            <w:hideMark/>
          </w:tcPr>
          <w:p w14:paraId="695E5868"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8.52 ± 0.47</w:t>
            </w:r>
          </w:p>
        </w:tc>
        <w:tc>
          <w:tcPr>
            <w:tcW w:w="0" w:type="auto"/>
            <w:tcBorders>
              <w:top w:val="nil"/>
            </w:tcBorders>
            <w:shd w:val="clear" w:color="auto" w:fill="auto"/>
            <w:noWrap/>
            <w:vAlign w:val="bottom"/>
            <w:hideMark/>
          </w:tcPr>
          <w:p w14:paraId="63727E52" w14:textId="77777777" w:rsidR="00573608" w:rsidRPr="00AA5F9D" w:rsidRDefault="00573608" w:rsidP="00B62085">
            <w:pPr>
              <w:adjustRightInd w:val="0"/>
              <w:snapToGrid w:val="0"/>
              <w:spacing w:after="0" w:line="240" w:lineRule="auto"/>
              <w:rPr>
                <w:rFonts w:ascii="Helvetica" w:hAnsi="Helvetica"/>
                <w:sz w:val="20"/>
                <w:szCs w:val="20"/>
                <w:lang w:eastAsia="en-AU"/>
              </w:rPr>
            </w:pPr>
            <w:r w:rsidRPr="00AA5F9D">
              <w:rPr>
                <w:rFonts w:ascii="Helvetica" w:hAnsi="Helvetica"/>
                <w:sz w:val="20"/>
                <w:szCs w:val="20"/>
                <w:lang w:eastAsia="en-AU"/>
              </w:rPr>
              <w:t>1.22 ± 0.06</w:t>
            </w:r>
          </w:p>
        </w:tc>
      </w:tr>
    </w:tbl>
    <w:p w14:paraId="5120A095" w14:textId="77777777" w:rsidR="00573608" w:rsidRPr="00AA5F9D" w:rsidRDefault="00573608" w:rsidP="00573608">
      <w:pPr>
        <w:adjustRightInd w:val="0"/>
        <w:snapToGrid w:val="0"/>
        <w:spacing w:line="240" w:lineRule="auto"/>
      </w:pPr>
    </w:p>
    <w:p w14:paraId="6BBD6724" w14:textId="77777777" w:rsidR="00573608" w:rsidRPr="00AA5F9D" w:rsidRDefault="00573608" w:rsidP="00573608">
      <w:pPr>
        <w:adjustRightInd w:val="0"/>
        <w:snapToGrid w:val="0"/>
        <w:spacing w:line="240" w:lineRule="auto"/>
        <w:rPr>
          <w:b/>
          <w:bCs/>
        </w:rPr>
      </w:pPr>
    </w:p>
    <w:p w14:paraId="5C2AC950" w14:textId="77777777" w:rsidR="00573608" w:rsidRPr="00AA5F9D" w:rsidRDefault="00573608" w:rsidP="00573608">
      <w:pPr>
        <w:adjustRightInd w:val="0"/>
        <w:snapToGrid w:val="0"/>
        <w:spacing w:line="240" w:lineRule="auto"/>
      </w:pPr>
      <w:r w:rsidRPr="00AA5F9D">
        <w:rPr>
          <w:b/>
          <w:bCs/>
        </w:rPr>
        <w:t>Table S5</w:t>
      </w:r>
      <w:r w:rsidRPr="00AA5F9D">
        <w:t xml:space="preserve">. Gamma dose rate values calculated from the laboratory analyses and </w:t>
      </w:r>
      <w:r w:rsidRPr="00AA5F9D">
        <w:rPr>
          <w:i/>
          <w:iCs/>
        </w:rPr>
        <w:t>in situ</w:t>
      </w:r>
      <w:r w:rsidRPr="00AA5F9D">
        <w:t xml:space="preserve"> measurements. Calculations were performed using dose rate conversion factors from Guérin et al. (2011) and a water content of 27% (% wet weight).</w:t>
      </w:r>
    </w:p>
    <w:tbl>
      <w:tblPr>
        <w:tblW w:w="0" w:type="auto"/>
        <w:jc w:val="center"/>
        <w:tblBorders>
          <w:bottom w:val="single" w:sz="4" w:space="0" w:color="auto"/>
          <w:insideV w:val="single" w:sz="4" w:space="0" w:color="auto"/>
        </w:tblBorders>
        <w:tblLook w:val="04A0" w:firstRow="1" w:lastRow="0" w:firstColumn="1" w:lastColumn="0" w:noHBand="0" w:noVBand="1"/>
      </w:tblPr>
      <w:tblGrid>
        <w:gridCol w:w="3724"/>
        <w:gridCol w:w="2025"/>
      </w:tblGrid>
      <w:tr w:rsidR="00AA5F9D" w:rsidRPr="00275FA8" w14:paraId="6E5A6A26" w14:textId="77777777" w:rsidTr="00873AFB">
        <w:trPr>
          <w:trHeight w:val="315"/>
          <w:jc w:val="center"/>
        </w:trPr>
        <w:tc>
          <w:tcPr>
            <w:tcW w:w="0" w:type="auto"/>
            <w:tcBorders>
              <w:bottom w:val="single" w:sz="4" w:space="0" w:color="auto"/>
            </w:tcBorders>
            <w:shd w:val="clear" w:color="000000" w:fill="FFFFFF"/>
            <w:noWrap/>
            <w:vAlign w:val="bottom"/>
          </w:tcPr>
          <w:p w14:paraId="7079D7DA" w14:textId="77777777" w:rsidR="00573608" w:rsidRPr="00B62085" w:rsidRDefault="00573608" w:rsidP="00B62085">
            <w:pPr>
              <w:adjustRightInd w:val="0"/>
              <w:snapToGrid w:val="0"/>
              <w:spacing w:after="0" w:line="240" w:lineRule="auto"/>
              <w:rPr>
                <w:rFonts w:ascii="Helvetica" w:hAnsi="Helvetica"/>
                <w:bCs/>
                <w:sz w:val="20"/>
                <w:szCs w:val="20"/>
                <w:lang w:eastAsia="en-AU"/>
              </w:rPr>
            </w:pPr>
            <w:r w:rsidRPr="00B62085">
              <w:rPr>
                <w:rFonts w:ascii="Helvetica" w:hAnsi="Helvetica"/>
                <w:bCs/>
                <w:sz w:val="20"/>
                <w:szCs w:val="20"/>
                <w:lang w:eastAsia="en-AU"/>
              </w:rPr>
              <w:t>Data inputs</w:t>
            </w:r>
          </w:p>
        </w:tc>
        <w:tc>
          <w:tcPr>
            <w:tcW w:w="2025" w:type="dxa"/>
            <w:tcBorders>
              <w:bottom w:val="single" w:sz="4" w:space="0" w:color="auto"/>
            </w:tcBorders>
            <w:shd w:val="clear" w:color="000000" w:fill="FFFFFF"/>
            <w:noWrap/>
            <w:vAlign w:val="bottom"/>
            <w:hideMark/>
          </w:tcPr>
          <w:p w14:paraId="0D5AC594" w14:textId="77777777" w:rsidR="00573608" w:rsidRPr="00B62085" w:rsidRDefault="00573608" w:rsidP="00B62085">
            <w:pPr>
              <w:adjustRightInd w:val="0"/>
              <w:snapToGrid w:val="0"/>
              <w:spacing w:after="0" w:line="240" w:lineRule="auto"/>
              <w:rPr>
                <w:rFonts w:ascii="Helvetica" w:hAnsi="Helvetica"/>
                <w:bCs/>
                <w:sz w:val="20"/>
                <w:szCs w:val="20"/>
                <w:lang w:eastAsia="en-AU"/>
              </w:rPr>
            </w:pPr>
            <w:r w:rsidRPr="00B62085">
              <w:rPr>
                <w:rFonts w:ascii="Helvetica" w:hAnsi="Helvetica"/>
                <w:bCs/>
                <w:sz w:val="20"/>
                <w:szCs w:val="20"/>
                <w:lang w:eastAsia="en-AU"/>
              </w:rPr>
              <w:t>Gamma dose rate (µGy/a)</w:t>
            </w:r>
          </w:p>
        </w:tc>
      </w:tr>
      <w:tr w:rsidR="00AA5F9D" w:rsidRPr="00275FA8" w14:paraId="541A10E9" w14:textId="77777777" w:rsidTr="00873AFB">
        <w:trPr>
          <w:trHeight w:val="315"/>
          <w:jc w:val="center"/>
        </w:trPr>
        <w:tc>
          <w:tcPr>
            <w:tcW w:w="0" w:type="auto"/>
            <w:tcBorders>
              <w:top w:val="single" w:sz="4" w:space="0" w:color="auto"/>
            </w:tcBorders>
            <w:shd w:val="clear" w:color="000000" w:fill="FFFFFF"/>
            <w:noWrap/>
            <w:vAlign w:val="bottom"/>
            <w:hideMark/>
          </w:tcPr>
          <w:p w14:paraId="1DA7142A" w14:textId="77777777" w:rsidR="00573608" w:rsidRPr="00B62085" w:rsidRDefault="00573608" w:rsidP="00B62085">
            <w:pPr>
              <w:adjustRightInd w:val="0"/>
              <w:snapToGrid w:val="0"/>
              <w:spacing w:after="0" w:line="240" w:lineRule="auto"/>
              <w:rPr>
                <w:rFonts w:ascii="Helvetica" w:hAnsi="Helvetica"/>
                <w:sz w:val="20"/>
                <w:szCs w:val="20"/>
                <w:lang w:eastAsia="en-AU"/>
              </w:rPr>
            </w:pPr>
            <w:r w:rsidRPr="00B62085">
              <w:rPr>
                <w:rFonts w:ascii="Helvetica" w:hAnsi="Helvetica"/>
                <w:sz w:val="20"/>
                <w:szCs w:val="20"/>
                <w:lang w:eastAsia="en-AU"/>
              </w:rPr>
              <w:t xml:space="preserve">LC18 </w:t>
            </w:r>
            <w:r w:rsidRPr="00B62085">
              <w:rPr>
                <w:rFonts w:ascii="Helvetica" w:hAnsi="Helvetica"/>
                <w:i/>
                <w:iCs/>
                <w:sz w:val="20"/>
                <w:szCs w:val="20"/>
                <w:lang w:eastAsia="en-AU"/>
              </w:rPr>
              <w:t>in situ</w:t>
            </w:r>
            <w:r w:rsidRPr="00B62085">
              <w:rPr>
                <w:rFonts w:ascii="Helvetica" w:hAnsi="Helvetica"/>
                <w:sz w:val="20"/>
                <w:szCs w:val="20"/>
                <w:lang w:eastAsia="en-AU"/>
              </w:rPr>
              <w:t xml:space="preserve"> measurements (</w:t>
            </w:r>
            <w:r w:rsidRPr="00B62085">
              <w:rPr>
                <w:rFonts w:ascii="Helvetica" w:hAnsi="Helvetica"/>
                <w:i/>
                <w:sz w:val="20"/>
                <w:szCs w:val="20"/>
                <w:lang w:eastAsia="en-AU"/>
              </w:rPr>
              <w:t>n</w:t>
            </w:r>
            <w:r w:rsidRPr="00B62085">
              <w:rPr>
                <w:rFonts w:ascii="Helvetica" w:hAnsi="Helvetica"/>
                <w:sz w:val="20"/>
                <w:szCs w:val="20"/>
                <w:lang w:eastAsia="en-AU"/>
              </w:rPr>
              <w:t>=3)</w:t>
            </w:r>
          </w:p>
        </w:tc>
        <w:tc>
          <w:tcPr>
            <w:tcW w:w="2025" w:type="dxa"/>
            <w:tcBorders>
              <w:top w:val="single" w:sz="4" w:space="0" w:color="auto"/>
            </w:tcBorders>
            <w:shd w:val="clear" w:color="000000" w:fill="FFFFFF"/>
            <w:noWrap/>
            <w:vAlign w:val="bottom"/>
            <w:hideMark/>
          </w:tcPr>
          <w:p w14:paraId="2DBD595D" w14:textId="77777777" w:rsidR="00573608" w:rsidRPr="00B62085" w:rsidRDefault="00573608" w:rsidP="00B62085">
            <w:pPr>
              <w:adjustRightInd w:val="0"/>
              <w:snapToGrid w:val="0"/>
              <w:spacing w:after="0" w:line="240" w:lineRule="auto"/>
              <w:rPr>
                <w:rFonts w:ascii="Helvetica" w:hAnsi="Helvetica"/>
                <w:sz w:val="20"/>
                <w:szCs w:val="20"/>
                <w:lang w:eastAsia="en-AU"/>
              </w:rPr>
            </w:pPr>
            <w:r w:rsidRPr="00B62085">
              <w:rPr>
                <w:rFonts w:ascii="Helvetica" w:hAnsi="Helvetica"/>
                <w:sz w:val="20"/>
                <w:szCs w:val="20"/>
                <w:lang w:eastAsia="en-AU"/>
              </w:rPr>
              <w:t>734 ± 38</w:t>
            </w:r>
          </w:p>
        </w:tc>
      </w:tr>
      <w:tr w:rsidR="00AA5F9D" w:rsidRPr="00275FA8" w14:paraId="44EF7F9E" w14:textId="77777777" w:rsidTr="00873AFB">
        <w:trPr>
          <w:trHeight w:val="300"/>
          <w:jc w:val="center"/>
        </w:trPr>
        <w:tc>
          <w:tcPr>
            <w:tcW w:w="0" w:type="auto"/>
            <w:shd w:val="clear" w:color="000000" w:fill="FFFFFF"/>
            <w:noWrap/>
            <w:vAlign w:val="bottom"/>
            <w:hideMark/>
          </w:tcPr>
          <w:p w14:paraId="0707A978" w14:textId="77777777" w:rsidR="00573608" w:rsidRPr="00B62085" w:rsidRDefault="00573608" w:rsidP="00B62085">
            <w:pPr>
              <w:adjustRightInd w:val="0"/>
              <w:snapToGrid w:val="0"/>
              <w:spacing w:after="0" w:line="240" w:lineRule="auto"/>
              <w:rPr>
                <w:rFonts w:ascii="Helvetica" w:hAnsi="Helvetica"/>
                <w:sz w:val="20"/>
                <w:szCs w:val="20"/>
                <w:lang w:eastAsia="en-AU"/>
              </w:rPr>
            </w:pPr>
            <w:r w:rsidRPr="00B62085">
              <w:rPr>
                <w:rFonts w:ascii="Helvetica" w:hAnsi="Helvetica"/>
                <w:sz w:val="20"/>
                <w:szCs w:val="20"/>
                <w:lang w:eastAsia="en-AU"/>
              </w:rPr>
              <w:t xml:space="preserve">LC14 </w:t>
            </w:r>
            <w:r w:rsidRPr="00B62085">
              <w:rPr>
                <w:rFonts w:ascii="Helvetica" w:hAnsi="Helvetica"/>
                <w:i/>
                <w:iCs/>
                <w:sz w:val="20"/>
                <w:szCs w:val="20"/>
                <w:lang w:eastAsia="en-AU"/>
              </w:rPr>
              <w:t>in situ</w:t>
            </w:r>
            <w:r w:rsidRPr="00B62085">
              <w:rPr>
                <w:rFonts w:ascii="Helvetica" w:hAnsi="Helvetica"/>
                <w:sz w:val="20"/>
                <w:szCs w:val="20"/>
                <w:lang w:eastAsia="en-AU"/>
              </w:rPr>
              <w:t xml:space="preserve"> measurements (</w:t>
            </w:r>
            <w:r w:rsidRPr="00B62085">
              <w:rPr>
                <w:rFonts w:ascii="Helvetica" w:hAnsi="Helvetica"/>
                <w:i/>
                <w:sz w:val="20"/>
                <w:szCs w:val="20"/>
                <w:lang w:eastAsia="en-AU"/>
              </w:rPr>
              <w:t>n</w:t>
            </w:r>
            <w:r w:rsidRPr="00B62085">
              <w:rPr>
                <w:rFonts w:ascii="Helvetica" w:hAnsi="Helvetica"/>
                <w:sz w:val="20"/>
                <w:szCs w:val="20"/>
                <w:lang w:eastAsia="en-AU"/>
              </w:rPr>
              <w:t>=3)</w:t>
            </w:r>
          </w:p>
        </w:tc>
        <w:tc>
          <w:tcPr>
            <w:tcW w:w="2025" w:type="dxa"/>
            <w:shd w:val="clear" w:color="000000" w:fill="FFFFFF"/>
            <w:noWrap/>
            <w:vAlign w:val="bottom"/>
            <w:hideMark/>
          </w:tcPr>
          <w:p w14:paraId="4BFD0682" w14:textId="77777777" w:rsidR="00573608" w:rsidRPr="00B62085" w:rsidRDefault="00573608" w:rsidP="00B62085">
            <w:pPr>
              <w:adjustRightInd w:val="0"/>
              <w:snapToGrid w:val="0"/>
              <w:spacing w:after="0" w:line="240" w:lineRule="auto"/>
              <w:rPr>
                <w:rFonts w:ascii="Helvetica" w:hAnsi="Helvetica"/>
                <w:sz w:val="20"/>
                <w:szCs w:val="20"/>
                <w:lang w:eastAsia="en-AU"/>
              </w:rPr>
            </w:pPr>
            <w:r w:rsidRPr="00B62085">
              <w:rPr>
                <w:rFonts w:ascii="Helvetica" w:hAnsi="Helvetica"/>
                <w:sz w:val="20"/>
                <w:szCs w:val="20"/>
                <w:lang w:eastAsia="en-AU"/>
              </w:rPr>
              <w:t>618 ± 34</w:t>
            </w:r>
          </w:p>
        </w:tc>
      </w:tr>
      <w:tr w:rsidR="00AA5F9D" w:rsidRPr="00275FA8" w14:paraId="088CA99C" w14:textId="77777777" w:rsidTr="00873AFB">
        <w:trPr>
          <w:trHeight w:val="300"/>
          <w:jc w:val="center"/>
        </w:trPr>
        <w:tc>
          <w:tcPr>
            <w:tcW w:w="0" w:type="auto"/>
            <w:shd w:val="clear" w:color="000000" w:fill="FFFFFF"/>
            <w:noWrap/>
            <w:vAlign w:val="bottom"/>
            <w:hideMark/>
          </w:tcPr>
          <w:p w14:paraId="32FFBACC" w14:textId="77777777" w:rsidR="00573608" w:rsidRPr="00B62085" w:rsidRDefault="00573608" w:rsidP="00B62085">
            <w:pPr>
              <w:adjustRightInd w:val="0"/>
              <w:snapToGrid w:val="0"/>
              <w:spacing w:after="0" w:line="240" w:lineRule="auto"/>
              <w:rPr>
                <w:rFonts w:ascii="Helvetica" w:hAnsi="Helvetica"/>
                <w:sz w:val="20"/>
                <w:szCs w:val="20"/>
                <w:lang w:eastAsia="en-AU"/>
              </w:rPr>
            </w:pPr>
            <w:r w:rsidRPr="00B62085">
              <w:rPr>
                <w:rFonts w:ascii="Helvetica" w:hAnsi="Helvetica"/>
                <w:sz w:val="20"/>
                <w:szCs w:val="20"/>
                <w:lang w:eastAsia="en-AU"/>
              </w:rPr>
              <w:t xml:space="preserve">LC14-LC18 </w:t>
            </w:r>
            <w:r w:rsidRPr="00B62085">
              <w:rPr>
                <w:rFonts w:ascii="Helvetica" w:hAnsi="Helvetica"/>
                <w:i/>
                <w:iCs/>
                <w:sz w:val="20"/>
                <w:szCs w:val="20"/>
                <w:lang w:eastAsia="en-AU"/>
              </w:rPr>
              <w:t>in situ</w:t>
            </w:r>
            <w:r w:rsidRPr="00B62085">
              <w:rPr>
                <w:rFonts w:ascii="Helvetica" w:hAnsi="Helvetica"/>
                <w:sz w:val="20"/>
                <w:szCs w:val="20"/>
                <w:lang w:eastAsia="en-AU"/>
              </w:rPr>
              <w:t xml:space="preserve"> measurements (</w:t>
            </w:r>
            <w:r w:rsidRPr="00B62085">
              <w:rPr>
                <w:rFonts w:ascii="Helvetica" w:hAnsi="Helvetica"/>
                <w:i/>
                <w:sz w:val="20"/>
                <w:szCs w:val="20"/>
                <w:lang w:eastAsia="en-AU"/>
              </w:rPr>
              <w:t>n</w:t>
            </w:r>
            <w:r w:rsidRPr="00B62085">
              <w:rPr>
                <w:rFonts w:ascii="Helvetica" w:hAnsi="Helvetica"/>
                <w:sz w:val="20"/>
                <w:szCs w:val="20"/>
                <w:lang w:eastAsia="en-AU"/>
              </w:rPr>
              <w:t>=6)</w:t>
            </w:r>
          </w:p>
        </w:tc>
        <w:tc>
          <w:tcPr>
            <w:tcW w:w="2025" w:type="dxa"/>
            <w:shd w:val="clear" w:color="000000" w:fill="FFFFFF"/>
            <w:noWrap/>
            <w:vAlign w:val="bottom"/>
            <w:hideMark/>
          </w:tcPr>
          <w:p w14:paraId="17ADFB41" w14:textId="77777777" w:rsidR="00573608" w:rsidRPr="00B62085" w:rsidRDefault="00573608" w:rsidP="00B62085">
            <w:pPr>
              <w:adjustRightInd w:val="0"/>
              <w:snapToGrid w:val="0"/>
              <w:spacing w:after="0" w:line="240" w:lineRule="auto"/>
              <w:rPr>
                <w:rFonts w:ascii="Helvetica" w:hAnsi="Helvetica"/>
                <w:sz w:val="20"/>
                <w:szCs w:val="20"/>
                <w:lang w:eastAsia="en-AU"/>
              </w:rPr>
            </w:pPr>
            <w:r w:rsidRPr="00B62085">
              <w:rPr>
                <w:rFonts w:ascii="Helvetica" w:hAnsi="Helvetica"/>
                <w:sz w:val="20"/>
                <w:szCs w:val="20"/>
                <w:lang w:eastAsia="en-AU"/>
              </w:rPr>
              <w:t>671 ± 32</w:t>
            </w:r>
          </w:p>
        </w:tc>
      </w:tr>
      <w:tr w:rsidR="00AA5F9D" w:rsidRPr="00275FA8" w14:paraId="07CF1DCE" w14:textId="77777777" w:rsidTr="00873AFB">
        <w:trPr>
          <w:trHeight w:val="300"/>
          <w:jc w:val="center"/>
        </w:trPr>
        <w:tc>
          <w:tcPr>
            <w:tcW w:w="0" w:type="auto"/>
            <w:shd w:val="clear" w:color="000000" w:fill="FFFFFF"/>
            <w:noWrap/>
            <w:vAlign w:val="bottom"/>
            <w:hideMark/>
          </w:tcPr>
          <w:p w14:paraId="1753739B" w14:textId="77777777" w:rsidR="00573608" w:rsidRPr="00B62085" w:rsidRDefault="00573608" w:rsidP="00B62085">
            <w:pPr>
              <w:adjustRightInd w:val="0"/>
              <w:snapToGrid w:val="0"/>
              <w:spacing w:after="0" w:line="240" w:lineRule="auto"/>
              <w:rPr>
                <w:rFonts w:ascii="Helvetica" w:hAnsi="Helvetica"/>
                <w:sz w:val="20"/>
                <w:szCs w:val="20"/>
                <w:lang w:eastAsia="en-AU"/>
              </w:rPr>
            </w:pPr>
            <w:r w:rsidRPr="00B62085">
              <w:rPr>
                <w:rFonts w:ascii="Helvetica" w:hAnsi="Helvetica"/>
                <w:sz w:val="20"/>
                <w:szCs w:val="20"/>
                <w:lang w:eastAsia="en-AU"/>
              </w:rPr>
              <w:t>SED1-2</w:t>
            </w:r>
          </w:p>
        </w:tc>
        <w:tc>
          <w:tcPr>
            <w:tcW w:w="2025" w:type="dxa"/>
            <w:shd w:val="clear" w:color="000000" w:fill="FFFFFF"/>
            <w:noWrap/>
            <w:vAlign w:val="bottom"/>
            <w:hideMark/>
          </w:tcPr>
          <w:p w14:paraId="7786C20B" w14:textId="77777777" w:rsidR="00573608" w:rsidRPr="00B62085" w:rsidRDefault="00573608" w:rsidP="00B62085">
            <w:pPr>
              <w:adjustRightInd w:val="0"/>
              <w:snapToGrid w:val="0"/>
              <w:spacing w:after="0" w:line="240" w:lineRule="auto"/>
              <w:rPr>
                <w:rFonts w:ascii="Helvetica" w:hAnsi="Helvetica"/>
                <w:sz w:val="20"/>
                <w:szCs w:val="20"/>
                <w:lang w:eastAsia="en-AU"/>
              </w:rPr>
            </w:pPr>
            <w:r w:rsidRPr="00B62085">
              <w:rPr>
                <w:rFonts w:ascii="Helvetica" w:hAnsi="Helvetica"/>
                <w:sz w:val="20"/>
                <w:szCs w:val="20"/>
                <w:lang w:eastAsia="en-AU"/>
              </w:rPr>
              <w:t>924 ± 43</w:t>
            </w:r>
          </w:p>
        </w:tc>
      </w:tr>
      <w:tr w:rsidR="00AA5F9D" w:rsidRPr="00275FA8" w14:paraId="41261800" w14:textId="77777777" w:rsidTr="00873AFB">
        <w:trPr>
          <w:trHeight w:val="300"/>
          <w:jc w:val="center"/>
        </w:trPr>
        <w:tc>
          <w:tcPr>
            <w:tcW w:w="0" w:type="auto"/>
            <w:shd w:val="clear" w:color="000000" w:fill="FFFFFF"/>
            <w:noWrap/>
            <w:vAlign w:val="bottom"/>
            <w:hideMark/>
          </w:tcPr>
          <w:p w14:paraId="2FB71A6A" w14:textId="77777777" w:rsidR="00573608" w:rsidRPr="00B62085" w:rsidRDefault="00573608" w:rsidP="00B62085">
            <w:pPr>
              <w:adjustRightInd w:val="0"/>
              <w:snapToGrid w:val="0"/>
              <w:spacing w:after="0" w:line="240" w:lineRule="auto"/>
              <w:rPr>
                <w:rFonts w:ascii="Helvetica" w:hAnsi="Helvetica"/>
                <w:sz w:val="20"/>
                <w:szCs w:val="20"/>
                <w:lang w:eastAsia="en-AU"/>
              </w:rPr>
            </w:pPr>
            <w:r w:rsidRPr="00B62085">
              <w:rPr>
                <w:rFonts w:ascii="Helvetica" w:hAnsi="Helvetica"/>
                <w:sz w:val="20"/>
                <w:szCs w:val="20"/>
                <w:lang w:eastAsia="en-AU"/>
              </w:rPr>
              <w:t>SED1-7</w:t>
            </w:r>
          </w:p>
        </w:tc>
        <w:tc>
          <w:tcPr>
            <w:tcW w:w="2025" w:type="dxa"/>
            <w:shd w:val="clear" w:color="000000" w:fill="FFFFFF"/>
            <w:noWrap/>
            <w:vAlign w:val="bottom"/>
            <w:hideMark/>
          </w:tcPr>
          <w:p w14:paraId="1E7D1F4A" w14:textId="77777777" w:rsidR="00573608" w:rsidRPr="00B62085" w:rsidRDefault="00573608" w:rsidP="00B62085">
            <w:pPr>
              <w:adjustRightInd w:val="0"/>
              <w:snapToGrid w:val="0"/>
              <w:spacing w:after="0" w:line="240" w:lineRule="auto"/>
              <w:rPr>
                <w:rFonts w:ascii="Helvetica" w:hAnsi="Helvetica"/>
                <w:sz w:val="20"/>
                <w:szCs w:val="20"/>
                <w:lang w:eastAsia="en-AU"/>
              </w:rPr>
            </w:pPr>
            <w:r w:rsidRPr="00B62085">
              <w:rPr>
                <w:rFonts w:ascii="Helvetica" w:hAnsi="Helvetica"/>
                <w:sz w:val="20"/>
                <w:szCs w:val="20"/>
                <w:lang w:eastAsia="en-AU"/>
              </w:rPr>
              <w:t>497 ± 21</w:t>
            </w:r>
          </w:p>
        </w:tc>
      </w:tr>
    </w:tbl>
    <w:p w14:paraId="6D7381BA" w14:textId="77777777" w:rsidR="00573608" w:rsidRPr="00AA5F9D" w:rsidRDefault="00573608" w:rsidP="00573608">
      <w:pPr>
        <w:adjustRightInd w:val="0"/>
        <w:snapToGrid w:val="0"/>
        <w:spacing w:line="240" w:lineRule="auto"/>
      </w:pPr>
    </w:p>
    <w:p w14:paraId="02703E23" w14:textId="77777777" w:rsidR="00573608" w:rsidRPr="00AA5F9D" w:rsidRDefault="00573608">
      <w:pPr>
        <w:rPr>
          <w:b/>
          <w:bCs/>
        </w:rPr>
      </w:pPr>
      <w:r w:rsidRPr="00AA5F9D">
        <w:rPr>
          <w:b/>
          <w:bCs/>
        </w:rPr>
        <w:br w:type="page"/>
      </w:r>
    </w:p>
    <w:p w14:paraId="0344B296" w14:textId="1757DD03" w:rsidR="00573608" w:rsidRPr="00AA5F9D" w:rsidRDefault="00573608" w:rsidP="00573608">
      <w:pPr>
        <w:adjustRightInd w:val="0"/>
        <w:snapToGrid w:val="0"/>
        <w:spacing w:line="240" w:lineRule="auto"/>
      </w:pPr>
      <w:r w:rsidRPr="00AA5F9D">
        <w:rPr>
          <w:b/>
          <w:bCs/>
        </w:rPr>
        <w:lastRenderedPageBreak/>
        <w:t>Figure S1.</w:t>
      </w:r>
      <w:r w:rsidRPr="00AA5F9D">
        <w:t xml:space="preserve"> ESR dose response curves obtained for #582. A and B: SSE fitting (1/I</w:t>
      </w:r>
      <w:r w:rsidRPr="00B62085">
        <w:rPr>
          <w:vertAlign w:val="superscript"/>
        </w:rPr>
        <w:t>2</w:t>
      </w:r>
      <w:r w:rsidRPr="00AA5F9D">
        <w:t xml:space="preserve">) through non-corrected ESR intensities with </w:t>
      </w:r>
      <w:proofErr w:type="spellStart"/>
      <w:r w:rsidRPr="00AA5F9D">
        <w:t>D</w:t>
      </w:r>
      <w:r w:rsidRPr="00B62085">
        <w:rPr>
          <w:vertAlign w:val="subscript"/>
        </w:rPr>
        <w:t>max</w:t>
      </w:r>
      <w:proofErr w:type="spellEnd"/>
      <w:r w:rsidRPr="00AA5F9D">
        <w:t xml:space="preserve"> = 1464 Gy (D</w:t>
      </w:r>
      <w:r w:rsidRPr="00B62085">
        <w:rPr>
          <w:vertAlign w:val="subscript"/>
        </w:rPr>
        <w:t>E1</w:t>
      </w:r>
      <w:r w:rsidRPr="00AA5F9D">
        <w:t xml:space="preserve">) and </w:t>
      </w:r>
      <w:proofErr w:type="spellStart"/>
      <w:r w:rsidRPr="00AA5F9D">
        <w:t>D</w:t>
      </w:r>
      <w:r w:rsidRPr="00B62085">
        <w:rPr>
          <w:vertAlign w:val="subscript"/>
        </w:rPr>
        <w:t>max</w:t>
      </w:r>
      <w:proofErr w:type="spellEnd"/>
      <w:r w:rsidRPr="00AA5F9D">
        <w:t xml:space="preserve"> = 488 Gy (D</w:t>
      </w:r>
      <w:r w:rsidRPr="00B62085">
        <w:rPr>
          <w:vertAlign w:val="subscript"/>
        </w:rPr>
        <w:t>E2</w:t>
      </w:r>
      <w:r w:rsidRPr="00AA5F9D">
        <w:t>); C: SSE fitting (1/I</w:t>
      </w:r>
      <w:r w:rsidRPr="00B62085">
        <w:rPr>
          <w:vertAlign w:val="superscript"/>
        </w:rPr>
        <w:t>2</w:t>
      </w:r>
      <w:r w:rsidRPr="00AA5F9D">
        <w:t xml:space="preserve">) through baseline-corrected ESR intensities with </w:t>
      </w:r>
      <w:proofErr w:type="spellStart"/>
      <w:r w:rsidRPr="00AA5F9D">
        <w:t>D</w:t>
      </w:r>
      <w:r w:rsidRPr="00B62085">
        <w:rPr>
          <w:vertAlign w:val="subscript"/>
        </w:rPr>
        <w:t>max</w:t>
      </w:r>
      <w:proofErr w:type="spellEnd"/>
      <w:r w:rsidRPr="00AA5F9D">
        <w:t xml:space="preserve"> = 488 Gy (D</w:t>
      </w:r>
      <w:r w:rsidRPr="00B62085">
        <w:rPr>
          <w:vertAlign w:val="subscript"/>
        </w:rPr>
        <w:t>E3</w:t>
      </w:r>
      <w:r w:rsidRPr="00AA5F9D">
        <w:t>); D SSE fitting (1/I</w:t>
      </w:r>
      <w:r w:rsidRPr="00B62085">
        <w:rPr>
          <w:vertAlign w:val="superscript"/>
        </w:rPr>
        <w:t>2</w:t>
      </w:r>
      <w:r w:rsidRPr="00AA5F9D">
        <w:t xml:space="preserve"> and 1/s</w:t>
      </w:r>
      <w:r w:rsidRPr="00B62085">
        <w:rPr>
          <w:vertAlign w:val="superscript"/>
        </w:rPr>
        <w:t>2</w:t>
      </w:r>
      <w:r w:rsidRPr="00AA5F9D">
        <w:t xml:space="preserve">) through baseline-corrected and noise-subtracted ESR intensities with </w:t>
      </w:r>
      <w:proofErr w:type="spellStart"/>
      <w:r w:rsidRPr="00AA5F9D">
        <w:t>D</w:t>
      </w:r>
      <w:r w:rsidRPr="00B62085">
        <w:rPr>
          <w:vertAlign w:val="subscript"/>
        </w:rPr>
        <w:t>max</w:t>
      </w:r>
      <w:proofErr w:type="spellEnd"/>
      <w:r w:rsidRPr="00AA5F9D">
        <w:t xml:space="preserve"> = 488 Gy (D</w:t>
      </w:r>
      <w:r w:rsidRPr="00B62085">
        <w:rPr>
          <w:vertAlign w:val="subscript"/>
        </w:rPr>
        <w:t>E4</w:t>
      </w:r>
      <w:r w:rsidR="00275FA8">
        <w:rPr>
          <w:vertAlign w:val="subscript"/>
        </w:rPr>
        <w:t xml:space="preserve"> </w:t>
      </w:r>
      <w:r w:rsidR="00275FA8" w:rsidRPr="00B62085">
        <w:t>and</w:t>
      </w:r>
      <w:r w:rsidR="00275FA8">
        <w:rPr>
          <w:vertAlign w:val="subscript"/>
        </w:rPr>
        <w:t xml:space="preserve"> </w:t>
      </w:r>
      <w:r w:rsidR="00275FA8" w:rsidRPr="00B62085">
        <w:t>D</w:t>
      </w:r>
      <w:r w:rsidR="00275FA8">
        <w:rPr>
          <w:vertAlign w:val="subscript"/>
        </w:rPr>
        <w:t>E5</w:t>
      </w:r>
      <w:r w:rsidRPr="00AA5F9D">
        <w:t xml:space="preserve">). </w:t>
      </w:r>
      <w:r w:rsidR="00275FA8">
        <w:t>N</w:t>
      </w:r>
      <w:r w:rsidRPr="00AA5F9D">
        <w:t xml:space="preserve">umerical values </w:t>
      </w:r>
      <w:r w:rsidR="00275FA8">
        <w:t xml:space="preserve">are given in </w:t>
      </w:r>
      <w:r w:rsidRPr="00AA5F9D">
        <w:t xml:space="preserve">Table S1. </w:t>
      </w:r>
      <w:r w:rsidR="00275FA8" w:rsidRPr="00275FA8">
        <w:t>Noise subtraction and baseline correction were performed following Arnold et al. (2024)</w:t>
      </w:r>
      <w:r w:rsidR="00275FA8">
        <w:t xml:space="preserve"> (see text for further details)</w:t>
      </w:r>
      <w:r w:rsidR="00275FA8" w:rsidRPr="00275FA8">
        <w:t xml:space="preserve">. </w:t>
      </w:r>
    </w:p>
    <w:p w14:paraId="7D83DB43" w14:textId="77777777" w:rsidR="00573608" w:rsidRPr="00AA5F9D" w:rsidRDefault="00573608" w:rsidP="00573608">
      <w:pPr>
        <w:adjustRightInd w:val="0"/>
        <w:snapToGrid w:val="0"/>
        <w:spacing w:line="240" w:lineRule="auto"/>
      </w:pPr>
      <w:r w:rsidRPr="00AA5F9D">
        <w:rPr>
          <w:b/>
          <w:noProof/>
          <w:sz w:val="20"/>
          <w:szCs w:val="20"/>
          <w:lang w:eastAsia="en-AU"/>
        </w:rPr>
        <w:drawing>
          <wp:inline distT="0" distB="0" distL="0" distR="0" wp14:anchorId="025CBAE2" wp14:editId="593F4C71">
            <wp:extent cx="5734050" cy="4626539"/>
            <wp:effectExtent l="0" t="0" r="0" b="3175"/>
            <wp:docPr id="4" name="Picture 4" descr="ESR DRCs_#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R DRCs_#58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7979" cy="4629709"/>
                    </a:xfrm>
                    <a:prstGeom prst="rect">
                      <a:avLst/>
                    </a:prstGeom>
                    <a:noFill/>
                    <a:ln>
                      <a:noFill/>
                    </a:ln>
                  </pic:spPr>
                </pic:pic>
              </a:graphicData>
            </a:graphic>
          </wp:inline>
        </w:drawing>
      </w:r>
    </w:p>
    <w:p w14:paraId="0757E1A7" w14:textId="77777777" w:rsidR="00573608" w:rsidRPr="00AA5F9D" w:rsidRDefault="00573608">
      <w:pPr>
        <w:rPr>
          <w:b/>
          <w:bCs/>
        </w:rPr>
      </w:pPr>
      <w:r w:rsidRPr="00AA5F9D">
        <w:rPr>
          <w:b/>
          <w:bCs/>
        </w:rPr>
        <w:br w:type="page"/>
      </w:r>
    </w:p>
    <w:p w14:paraId="53ABFEF2" w14:textId="20C66A06" w:rsidR="00573608" w:rsidRPr="00AA5F9D" w:rsidRDefault="00573608" w:rsidP="00573608">
      <w:pPr>
        <w:adjustRightInd w:val="0"/>
        <w:snapToGrid w:val="0"/>
        <w:spacing w:line="240" w:lineRule="auto"/>
      </w:pPr>
      <w:r w:rsidRPr="00AA5F9D">
        <w:rPr>
          <w:b/>
          <w:bCs/>
        </w:rPr>
        <w:lastRenderedPageBreak/>
        <w:t>Figure S2</w:t>
      </w:r>
      <w:r w:rsidRPr="00AA5F9D">
        <w:t xml:space="preserve">. ESR data collected from the measurement of the enamel sample #582. A: example of ESR spectrum (D = 146 Gy) before and after FFT correction (Gaussian window function); B: FFT-transformed spectra obtained for all aliquots of enamel sample #582; C: Comparison of the dose estimates obtained using different noise correction procedures. All results are based on baseline-corrected ESR spectra. Fitting was performed with </w:t>
      </w:r>
      <w:proofErr w:type="gramStart"/>
      <w:r w:rsidRPr="00AA5F9D">
        <w:t>a</w:t>
      </w:r>
      <w:proofErr w:type="gramEnd"/>
      <w:r w:rsidRPr="00AA5F9D">
        <w:t xml:space="preserve"> SSE (data weighting by 1/I</w:t>
      </w:r>
      <w:r w:rsidRPr="00AA5F9D">
        <w:rPr>
          <w:vertAlign w:val="superscript"/>
        </w:rPr>
        <w:t>2</w:t>
      </w:r>
      <w:r w:rsidRPr="00AA5F9D">
        <w:t xml:space="preserve">) up to a </w:t>
      </w:r>
      <w:proofErr w:type="spellStart"/>
      <w:r w:rsidRPr="00AA5F9D">
        <w:t>D</w:t>
      </w:r>
      <w:r w:rsidRPr="00AA5F9D">
        <w:rPr>
          <w:vertAlign w:val="subscript"/>
        </w:rPr>
        <w:t>max</w:t>
      </w:r>
      <w:proofErr w:type="spellEnd"/>
      <w:r w:rsidRPr="00AA5F9D">
        <w:t xml:space="preserve"> of 488 Gy. #1 and #2 correspond to D</w:t>
      </w:r>
      <w:r w:rsidRPr="00AA5F9D">
        <w:rPr>
          <w:vertAlign w:val="subscript"/>
        </w:rPr>
        <w:t>E3</w:t>
      </w:r>
      <w:r w:rsidRPr="00AA5F9D">
        <w:t xml:space="preserve"> and D</w:t>
      </w:r>
      <w:r w:rsidRPr="00AA5F9D">
        <w:rPr>
          <w:vertAlign w:val="subscript"/>
        </w:rPr>
        <w:t>E4</w:t>
      </w:r>
      <w:r w:rsidRPr="00AA5F9D">
        <w:t xml:space="preserve"> (Table S1), and #3 to #5 were obtained from the use of a Gaussian window function, while a Hamming function was employed for #6 to #8. These functions were adjusted using more or less conservative parameter values (conservative values: #4 and #7; extreme values: #5 and #8; intermediate values: #3 and #6).</w:t>
      </w:r>
    </w:p>
    <w:p w14:paraId="4F8E1EDB" w14:textId="407FC66D" w:rsidR="00573608" w:rsidRPr="00AA5F9D" w:rsidRDefault="00573608" w:rsidP="00573608">
      <w:pPr>
        <w:adjustRightInd w:val="0"/>
        <w:snapToGrid w:val="0"/>
        <w:spacing w:line="240" w:lineRule="auto"/>
      </w:pPr>
      <w:r w:rsidRPr="00AA5F9D">
        <w:rPr>
          <w:i/>
          <w:noProof/>
          <w:szCs w:val="30"/>
          <w:lang w:eastAsia="en-AU"/>
        </w:rPr>
        <w:drawing>
          <wp:inline distT="0" distB="0" distL="0" distR="0" wp14:anchorId="00EC2515" wp14:editId="51B3150C">
            <wp:extent cx="2887038" cy="6103829"/>
            <wp:effectExtent l="0" t="0" r="0" b="5080"/>
            <wp:docPr id="2" name="Picture 2" descr="Fig2_FFT #582 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2_FFT #582 graph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0399" cy="6110936"/>
                    </a:xfrm>
                    <a:prstGeom prst="rect">
                      <a:avLst/>
                    </a:prstGeom>
                    <a:noFill/>
                    <a:ln>
                      <a:noFill/>
                    </a:ln>
                  </pic:spPr>
                </pic:pic>
              </a:graphicData>
            </a:graphic>
          </wp:inline>
        </w:drawing>
      </w:r>
    </w:p>
    <w:p w14:paraId="08606388" w14:textId="2E73209D" w:rsidR="00573608" w:rsidRPr="00AA5F9D" w:rsidRDefault="00573608" w:rsidP="00573608">
      <w:pPr>
        <w:adjustRightInd w:val="0"/>
        <w:snapToGrid w:val="0"/>
        <w:spacing w:line="240" w:lineRule="auto"/>
      </w:pPr>
    </w:p>
    <w:p w14:paraId="74D720A2" w14:textId="77777777" w:rsidR="00573608" w:rsidRPr="00AA5F9D" w:rsidRDefault="00573608" w:rsidP="00573608">
      <w:pPr>
        <w:adjustRightInd w:val="0"/>
        <w:snapToGrid w:val="0"/>
        <w:spacing w:line="240" w:lineRule="auto"/>
        <w:rPr>
          <w:b/>
          <w:bCs/>
        </w:rPr>
      </w:pPr>
    </w:p>
    <w:p w14:paraId="690EE3FB" w14:textId="77777777" w:rsidR="00573608" w:rsidRPr="00AA5F9D" w:rsidRDefault="00573608" w:rsidP="00573608">
      <w:pPr>
        <w:adjustRightInd w:val="0"/>
        <w:snapToGrid w:val="0"/>
        <w:spacing w:line="240" w:lineRule="auto"/>
        <w:rPr>
          <w:b/>
          <w:bCs/>
        </w:rPr>
      </w:pPr>
    </w:p>
    <w:p w14:paraId="1484AF21" w14:textId="019C6D04" w:rsidR="00573608" w:rsidRPr="00AA5F9D" w:rsidRDefault="00573608" w:rsidP="00573608">
      <w:pPr>
        <w:adjustRightInd w:val="0"/>
        <w:snapToGrid w:val="0"/>
        <w:spacing w:line="240" w:lineRule="auto"/>
      </w:pPr>
      <w:r w:rsidRPr="00AA5F9D">
        <w:rPr>
          <w:b/>
          <w:bCs/>
        </w:rPr>
        <w:lastRenderedPageBreak/>
        <w:t>References for Supplementary Data</w:t>
      </w:r>
      <w:r w:rsidRPr="00AA5F9D">
        <w:t>:</w:t>
      </w:r>
    </w:p>
    <w:p w14:paraId="413F4341" w14:textId="352BDA88" w:rsidR="00573608" w:rsidRPr="00AA5F9D" w:rsidRDefault="008B236A" w:rsidP="00573608">
      <w:pPr>
        <w:adjustRightInd w:val="0"/>
        <w:snapToGrid w:val="0"/>
        <w:spacing w:line="240" w:lineRule="auto"/>
      </w:pPr>
      <w:r w:rsidRPr="00355264">
        <w:rPr>
          <w:bCs/>
        </w:rPr>
        <w:t xml:space="preserve">Arnold, L.J., Duval, M., Falguères, C., </w:t>
      </w:r>
      <w:proofErr w:type="spellStart"/>
      <w:r w:rsidRPr="00355264">
        <w:rPr>
          <w:bCs/>
        </w:rPr>
        <w:t>Bahain</w:t>
      </w:r>
      <w:proofErr w:type="spellEnd"/>
      <w:r w:rsidRPr="00355264">
        <w:rPr>
          <w:bCs/>
        </w:rPr>
        <w:t xml:space="preserve">, J.-J., </w:t>
      </w:r>
      <w:proofErr w:type="spellStart"/>
      <w:r w:rsidRPr="00355264">
        <w:rPr>
          <w:bCs/>
        </w:rPr>
        <w:t>Demuro</w:t>
      </w:r>
      <w:proofErr w:type="spellEnd"/>
      <w:r w:rsidRPr="00355264">
        <w:rPr>
          <w:bCs/>
        </w:rPr>
        <w:t>, M. (</w:t>
      </w:r>
      <w:r w:rsidR="00573608" w:rsidRPr="00355264">
        <w:t>2012</w:t>
      </w:r>
      <w:r w:rsidRPr="00355264">
        <w:t>)</w:t>
      </w:r>
      <w:r w:rsidR="00275FA8" w:rsidRPr="00355264">
        <w:t>.</w:t>
      </w:r>
      <w:r w:rsidR="00573608" w:rsidRPr="00355264">
        <w:t xml:space="preserve"> </w:t>
      </w:r>
      <w:r w:rsidR="00573608" w:rsidRPr="00AA5F9D">
        <w:t>Portable gamma spectrometry with cerium-doped lanthanum bromide scintillators: Suitability assessments for luminescence and electron spin resonance dating applications. Radiation Measurements 47, 6-18.</w:t>
      </w:r>
    </w:p>
    <w:p w14:paraId="3303EC48" w14:textId="0359EDB1" w:rsidR="00573608" w:rsidRPr="00AA5F9D" w:rsidRDefault="00573608" w:rsidP="00573608">
      <w:pPr>
        <w:adjustRightInd w:val="0"/>
        <w:snapToGrid w:val="0"/>
        <w:spacing w:line="240" w:lineRule="auto"/>
      </w:pPr>
      <w:r w:rsidRPr="00AA5F9D">
        <w:t>Arnold, L.J.</w:t>
      </w:r>
      <w:r w:rsidR="005305D6" w:rsidRPr="00AA5F9D">
        <w:t xml:space="preserve">, </w:t>
      </w:r>
      <w:proofErr w:type="spellStart"/>
      <w:r w:rsidR="005305D6" w:rsidRPr="00AA5F9D">
        <w:t>Demuro</w:t>
      </w:r>
      <w:proofErr w:type="spellEnd"/>
      <w:r w:rsidR="005305D6" w:rsidRPr="00AA5F9D">
        <w:t>, M., Duval., Grün, R., Sanz, M., Costa, A.M., Araújo, A.C., Daura, J</w:t>
      </w:r>
      <w:r w:rsidRPr="00AA5F9D">
        <w:t xml:space="preserve">. </w:t>
      </w:r>
      <w:r w:rsidR="005305D6" w:rsidRPr="00AA5F9D">
        <w:t>(2024)</w:t>
      </w:r>
      <w:r w:rsidR="00275FA8">
        <w:t>.</w:t>
      </w:r>
      <w:r w:rsidR="005305D6" w:rsidRPr="00AA5F9D">
        <w:t xml:space="preserve"> </w:t>
      </w:r>
      <w:r w:rsidRPr="00AA5F9D">
        <w:t>Single-grain luminescence and U-series/ESR dating of the early Upper Palaeolithic Lagar Velho Rock Shelter.</w:t>
      </w:r>
      <w:r w:rsidR="005305D6" w:rsidRPr="00AA5F9D">
        <w:t xml:space="preserve"> Quaternary Geochronology 83, 101572.</w:t>
      </w:r>
    </w:p>
    <w:p w14:paraId="388C4D90" w14:textId="2F975D3D" w:rsidR="00573608" w:rsidRPr="00AA5F9D" w:rsidRDefault="00573608" w:rsidP="00573608">
      <w:pPr>
        <w:pStyle w:val="Default"/>
        <w:adjustRightInd w:val="0"/>
        <w:snapToGrid w:val="0"/>
        <w:spacing w:before="0" w:after="120"/>
        <w:rPr>
          <w:rFonts w:cs="Times New Roman"/>
          <w:color w:val="000000" w:themeColor="text1"/>
          <w:sz w:val="24"/>
          <w:szCs w:val="24"/>
          <w:lang w:val="en-AU"/>
        </w:rPr>
      </w:pPr>
      <w:r w:rsidRPr="00AA5F9D">
        <w:rPr>
          <w:rFonts w:cs="Times New Roman"/>
          <w:color w:val="000000" w:themeColor="text1"/>
          <w:sz w:val="24"/>
          <w:szCs w:val="24"/>
          <w:lang w:val="en-AU"/>
        </w:rPr>
        <w:t>Cheng, H.</w:t>
      </w:r>
      <w:r w:rsidR="00AB1121" w:rsidRPr="00AA5F9D">
        <w:rPr>
          <w:rFonts w:cs="Times New Roman"/>
          <w:color w:val="000000" w:themeColor="text1"/>
          <w:sz w:val="24"/>
          <w:szCs w:val="24"/>
          <w:lang w:val="en-AU"/>
        </w:rPr>
        <w:t xml:space="preserve">, </w:t>
      </w:r>
      <w:r w:rsidR="0084722B" w:rsidRPr="00AA5F9D">
        <w:rPr>
          <w:rFonts w:cs="Times New Roman"/>
          <w:color w:val="000000" w:themeColor="text1"/>
          <w:sz w:val="24"/>
          <w:szCs w:val="24"/>
          <w:lang w:val="en-AU"/>
        </w:rPr>
        <w:t>Edwards, R.L., Hoff, J., Gallup, C.D., Richards, D.A., Asmerom, Y</w:t>
      </w:r>
      <w:r w:rsidR="007A5680" w:rsidRPr="00AA5F9D">
        <w:rPr>
          <w:rFonts w:cs="Times New Roman"/>
          <w:color w:val="000000" w:themeColor="text1"/>
          <w:sz w:val="24"/>
          <w:szCs w:val="24"/>
          <w:lang w:val="en-AU"/>
        </w:rPr>
        <w:t>.</w:t>
      </w:r>
      <w:r w:rsidRPr="00AA5F9D">
        <w:rPr>
          <w:rFonts w:cs="Times New Roman"/>
          <w:color w:val="000000" w:themeColor="text1"/>
          <w:sz w:val="24"/>
          <w:szCs w:val="24"/>
          <w:lang w:val="en-AU"/>
        </w:rPr>
        <w:t xml:space="preserve"> </w:t>
      </w:r>
      <w:r w:rsidR="0084722B" w:rsidRPr="00AA5F9D">
        <w:rPr>
          <w:rFonts w:cs="Times New Roman"/>
          <w:color w:val="000000" w:themeColor="text1"/>
          <w:sz w:val="24"/>
          <w:szCs w:val="24"/>
          <w:lang w:val="en-AU"/>
        </w:rPr>
        <w:t>(</w:t>
      </w:r>
      <w:r w:rsidRPr="00AA5F9D">
        <w:rPr>
          <w:rFonts w:cs="Times New Roman"/>
          <w:color w:val="000000" w:themeColor="text1"/>
          <w:sz w:val="24"/>
          <w:szCs w:val="24"/>
          <w:lang w:val="en-AU"/>
        </w:rPr>
        <w:t>2000</w:t>
      </w:r>
      <w:r w:rsidR="0084722B" w:rsidRPr="00AA5F9D">
        <w:rPr>
          <w:rFonts w:cs="Times New Roman"/>
          <w:color w:val="000000" w:themeColor="text1"/>
          <w:sz w:val="24"/>
          <w:szCs w:val="24"/>
          <w:lang w:val="en-AU"/>
        </w:rPr>
        <w:t>)</w:t>
      </w:r>
      <w:r w:rsidR="00275FA8">
        <w:rPr>
          <w:rFonts w:cs="Times New Roman"/>
          <w:color w:val="000000" w:themeColor="text1"/>
          <w:sz w:val="24"/>
          <w:szCs w:val="24"/>
          <w:lang w:val="en-AU"/>
        </w:rPr>
        <w:t>.</w:t>
      </w:r>
      <w:r w:rsidRPr="00AA5F9D">
        <w:rPr>
          <w:rFonts w:cs="Times New Roman"/>
          <w:color w:val="000000" w:themeColor="text1"/>
          <w:sz w:val="24"/>
          <w:szCs w:val="24"/>
          <w:lang w:val="en-AU"/>
        </w:rPr>
        <w:t xml:space="preserve"> The half-lives of uranium-234 and thorium-230. Chemical Geology 169(1-2), pp.17-33.</w:t>
      </w:r>
    </w:p>
    <w:p w14:paraId="79886B1F" w14:textId="6D30FBC2" w:rsidR="00573608" w:rsidRPr="00AA5F9D" w:rsidRDefault="00573608" w:rsidP="00573608">
      <w:pPr>
        <w:widowControl w:val="0"/>
        <w:autoSpaceDE w:val="0"/>
        <w:autoSpaceDN w:val="0"/>
        <w:adjustRightInd w:val="0"/>
        <w:snapToGrid w:val="0"/>
        <w:spacing w:line="240" w:lineRule="auto"/>
      </w:pPr>
      <w:r w:rsidRPr="00AA5F9D">
        <w:t>Clark, T. R.</w:t>
      </w:r>
      <w:r w:rsidR="002A0A08" w:rsidRPr="00AA5F9D">
        <w:t>, Roff, G., Zhao, J-x., Feng, Y-x., Done, T.J., Pandolfi, J.M</w:t>
      </w:r>
      <w:r w:rsidRPr="00AA5F9D">
        <w:t xml:space="preserve">. </w:t>
      </w:r>
      <w:r w:rsidR="002A0A08" w:rsidRPr="00AA5F9D">
        <w:t>(</w:t>
      </w:r>
      <w:r w:rsidRPr="00AA5F9D">
        <w:t>2014</w:t>
      </w:r>
      <w:r w:rsidR="002A0A08" w:rsidRPr="00AA5F9D">
        <w:t>)</w:t>
      </w:r>
      <w:r w:rsidR="00275FA8">
        <w:t>.</w:t>
      </w:r>
      <w:r w:rsidRPr="00AA5F9D">
        <w:t xml:space="preserve"> Testing the precision and accuracy of the U-Th chronometer for dating coral mortality events in the last 100 years. Quaternary Geochronology 23, 35–45.</w:t>
      </w:r>
    </w:p>
    <w:p w14:paraId="01826DFD" w14:textId="4FB25D34" w:rsidR="00573608" w:rsidRPr="00AA5F9D" w:rsidRDefault="00743B3E" w:rsidP="00573608">
      <w:pPr>
        <w:adjustRightInd w:val="0"/>
        <w:snapToGrid w:val="0"/>
        <w:spacing w:line="240" w:lineRule="auto"/>
      </w:pPr>
      <w:r w:rsidRPr="00AA5F9D">
        <w:rPr>
          <w:rFonts w:eastAsia="Times New Roman"/>
          <w:kern w:val="0"/>
          <w:lang w:val="en-US"/>
          <w14:ligatures w14:val="none"/>
        </w:rPr>
        <w:t>Cohen</w:t>
      </w:r>
      <w:r w:rsidRPr="00AA5F9D">
        <w:rPr>
          <w:rFonts w:eastAsia="Times New Roman"/>
          <w:kern w:val="0"/>
          <w:bdr w:val="none" w:sz="0" w:space="0" w:color="auto" w:frame="1"/>
          <w:lang w:val="en-US"/>
          <w14:ligatures w14:val="none"/>
        </w:rPr>
        <w:t xml:space="preserve">, </w:t>
      </w:r>
      <w:r w:rsidRPr="00AA5F9D">
        <w:rPr>
          <w:rFonts w:eastAsia="Times New Roman"/>
          <w:kern w:val="0"/>
          <w:lang w:val="en-US"/>
          <w14:ligatures w14:val="none"/>
        </w:rPr>
        <w:t>T.J., Jansen, J.D.,</w:t>
      </w:r>
      <w:r w:rsidRPr="00AA5F9D">
        <w:rPr>
          <w:rFonts w:eastAsia="Times New Roman"/>
          <w:kern w:val="0"/>
          <w:bdr w:val="none" w:sz="0" w:space="0" w:color="auto" w:frame="1"/>
          <w:lang w:val="en-US"/>
          <w14:ligatures w14:val="none"/>
        </w:rPr>
        <w:t xml:space="preserve"> </w:t>
      </w:r>
      <w:proofErr w:type="spellStart"/>
      <w:r w:rsidRPr="00AA5F9D">
        <w:rPr>
          <w:rFonts w:eastAsia="Times New Roman"/>
          <w:kern w:val="0"/>
          <w:lang w:val="en-US"/>
          <w14:ligatures w14:val="none"/>
        </w:rPr>
        <w:t>Gliganic</w:t>
      </w:r>
      <w:proofErr w:type="spellEnd"/>
      <w:r w:rsidRPr="00AA5F9D">
        <w:rPr>
          <w:rFonts w:eastAsia="Times New Roman"/>
          <w:kern w:val="0"/>
          <w:lang w:val="en-US"/>
          <w14:ligatures w14:val="none"/>
        </w:rPr>
        <w:t>, L.A.</w:t>
      </w:r>
      <w:r w:rsidRPr="00AA5F9D">
        <w:rPr>
          <w:rFonts w:eastAsia="Times New Roman"/>
          <w:kern w:val="0"/>
          <w:bdr w:val="none" w:sz="0" w:space="0" w:color="auto" w:frame="1"/>
          <w:lang w:val="en-US"/>
          <w14:ligatures w14:val="none"/>
        </w:rPr>
        <w:t xml:space="preserve">, </w:t>
      </w:r>
      <w:r w:rsidRPr="00AA5F9D">
        <w:rPr>
          <w:rFonts w:eastAsia="Times New Roman"/>
          <w:kern w:val="0"/>
          <w:lang w:val="en-US"/>
          <w14:ligatures w14:val="none"/>
        </w:rPr>
        <w:t>Larsen, J.R.</w:t>
      </w:r>
      <w:r w:rsidRPr="00AA5F9D">
        <w:rPr>
          <w:rFonts w:eastAsia="Times New Roman"/>
          <w:kern w:val="0"/>
          <w:bdr w:val="none" w:sz="0" w:space="0" w:color="auto" w:frame="1"/>
          <w:lang w:val="en-US"/>
          <w14:ligatures w14:val="none"/>
        </w:rPr>
        <w:t xml:space="preserve">, </w:t>
      </w:r>
      <w:r w:rsidRPr="00AA5F9D">
        <w:rPr>
          <w:rFonts w:eastAsia="Times New Roman"/>
          <w:kern w:val="0"/>
          <w:lang w:val="en-US"/>
          <w14:ligatures w14:val="none"/>
        </w:rPr>
        <w:t>Nanson, G.C.</w:t>
      </w:r>
      <w:r w:rsidRPr="00AA5F9D">
        <w:rPr>
          <w:rFonts w:eastAsia="Times New Roman"/>
          <w:kern w:val="0"/>
          <w:bdr w:val="none" w:sz="0" w:space="0" w:color="auto" w:frame="1"/>
          <w:lang w:val="en-US"/>
          <w14:ligatures w14:val="none"/>
        </w:rPr>
        <w:t xml:space="preserve">, </w:t>
      </w:r>
      <w:r w:rsidRPr="00AA5F9D">
        <w:rPr>
          <w:rFonts w:eastAsia="Times New Roman"/>
          <w:kern w:val="0"/>
          <w:lang w:val="en-US"/>
          <w14:ligatures w14:val="none"/>
        </w:rPr>
        <w:t>May. J-H</w:t>
      </w:r>
      <w:r w:rsidRPr="00AA5F9D">
        <w:rPr>
          <w:rFonts w:eastAsia="Times New Roman"/>
          <w:kern w:val="0"/>
          <w:bdr w:val="none" w:sz="0" w:space="0" w:color="auto" w:frame="1"/>
          <w:lang w:val="en-US"/>
          <w14:ligatures w14:val="none"/>
        </w:rPr>
        <w:t xml:space="preserve">, </w:t>
      </w:r>
      <w:r w:rsidRPr="00AA5F9D">
        <w:rPr>
          <w:rFonts w:eastAsia="Times New Roman"/>
          <w:kern w:val="0"/>
          <w:lang w:val="en-US"/>
          <w14:ligatures w14:val="none"/>
        </w:rPr>
        <w:t>Jones</w:t>
      </w:r>
      <w:r w:rsidRPr="00AA5F9D">
        <w:rPr>
          <w:rFonts w:eastAsia="Times New Roman"/>
          <w:kern w:val="0"/>
          <w:bdr w:val="none" w:sz="0" w:space="0" w:color="auto" w:frame="1"/>
          <w:lang w:val="en-US"/>
          <w14:ligatures w14:val="none"/>
        </w:rPr>
        <w:t xml:space="preserve">, </w:t>
      </w:r>
      <w:r w:rsidRPr="00AA5F9D">
        <w:rPr>
          <w:rFonts w:eastAsia="Times New Roman"/>
          <w:kern w:val="0"/>
          <w:lang w:val="en-US"/>
          <w14:ligatures w14:val="none"/>
        </w:rPr>
        <w:t>B.G., Price, D.M. (2015)</w:t>
      </w:r>
      <w:r w:rsidR="00275FA8">
        <w:rPr>
          <w:rFonts w:eastAsia="Times New Roman"/>
          <w:kern w:val="0"/>
          <w:lang w:val="en-US"/>
          <w14:ligatures w14:val="none"/>
        </w:rPr>
        <w:t>.</w:t>
      </w:r>
      <w:r w:rsidRPr="00AA5F9D">
        <w:rPr>
          <w:rFonts w:eastAsia="Times New Roman"/>
          <w:kern w:val="0"/>
          <w:lang w:val="en-US"/>
          <w14:ligatures w14:val="none"/>
        </w:rPr>
        <w:t xml:space="preserve"> </w:t>
      </w:r>
      <w:r w:rsidR="00573608" w:rsidRPr="00AA5F9D">
        <w:rPr>
          <w:lang w:val="en-US"/>
        </w:rPr>
        <w:t xml:space="preserve">Hydrological transformation coincided with megafaunal extinction in central Australia. Geology 43(3): 195–198. </w:t>
      </w:r>
      <w:r w:rsidR="00573608" w:rsidRPr="00AA5F9D">
        <w:t>https://doi.org/10.1130/G36346.1</w:t>
      </w:r>
    </w:p>
    <w:p w14:paraId="03C241C7" w14:textId="04EE4CF2" w:rsidR="00573608" w:rsidRPr="00AA5F9D" w:rsidRDefault="00573608" w:rsidP="00573608">
      <w:pPr>
        <w:widowControl w:val="0"/>
        <w:autoSpaceDE w:val="0"/>
        <w:autoSpaceDN w:val="0"/>
        <w:adjustRightInd w:val="0"/>
        <w:snapToGrid w:val="0"/>
        <w:spacing w:line="240" w:lineRule="auto"/>
      </w:pPr>
      <w:r w:rsidRPr="00AA5F9D">
        <w:t>Duval, M.</w:t>
      </w:r>
      <w:r w:rsidR="002A0A08" w:rsidRPr="00AA5F9D">
        <w:t xml:space="preserve"> and</w:t>
      </w:r>
      <w:r w:rsidRPr="00AA5F9D">
        <w:t xml:space="preserve"> Grün, R. </w:t>
      </w:r>
      <w:r w:rsidR="002A0A08" w:rsidRPr="00AA5F9D">
        <w:t>(</w:t>
      </w:r>
      <w:r w:rsidRPr="00AA5F9D">
        <w:t>2016</w:t>
      </w:r>
      <w:r w:rsidR="002A0A08" w:rsidRPr="00AA5F9D">
        <w:t>)</w:t>
      </w:r>
      <w:r w:rsidR="009F5A5A">
        <w:t>.</w:t>
      </w:r>
      <w:r w:rsidRPr="00AA5F9D">
        <w:t xml:space="preserve"> Are published ESR dose assessments on fossil tooth enamel reliable? Quaternary Geochronology 31, 19-27.</w:t>
      </w:r>
    </w:p>
    <w:p w14:paraId="4E6231FB" w14:textId="5CC6CED9" w:rsidR="00573608" w:rsidRPr="00AA5F9D" w:rsidRDefault="00573608" w:rsidP="00573608">
      <w:pPr>
        <w:widowControl w:val="0"/>
        <w:autoSpaceDE w:val="0"/>
        <w:autoSpaceDN w:val="0"/>
        <w:adjustRightInd w:val="0"/>
        <w:snapToGrid w:val="0"/>
        <w:spacing w:line="240" w:lineRule="auto"/>
      </w:pPr>
      <w:r w:rsidRPr="00355264">
        <w:t>Duval, M., Falguères, C.</w:t>
      </w:r>
      <w:r w:rsidR="002A0A08" w:rsidRPr="00355264">
        <w:t>,</w:t>
      </w:r>
      <w:r w:rsidRPr="00355264">
        <w:t xml:space="preserve"> </w:t>
      </w:r>
      <w:proofErr w:type="spellStart"/>
      <w:r w:rsidRPr="00355264">
        <w:t>Bahain</w:t>
      </w:r>
      <w:proofErr w:type="spellEnd"/>
      <w:r w:rsidRPr="00355264">
        <w:t xml:space="preserve">, J.-J. </w:t>
      </w:r>
      <w:r w:rsidR="002A0A08" w:rsidRPr="00355264">
        <w:t>(</w:t>
      </w:r>
      <w:r w:rsidRPr="00355264">
        <w:t>2012</w:t>
      </w:r>
      <w:r w:rsidR="002A0A08" w:rsidRPr="00355264">
        <w:t>)</w:t>
      </w:r>
      <w:r w:rsidR="009F5A5A" w:rsidRPr="00355264">
        <w:t>.</w:t>
      </w:r>
      <w:r w:rsidRPr="00355264">
        <w:t xml:space="preserve"> </w:t>
      </w:r>
      <w:r w:rsidRPr="00AA5F9D">
        <w:t>Age of the oldest hominin settlements in Spain: Contribution of the combined U-series/ESR dating method applied to fossil teeth. Quaternary Geochronology 10</w:t>
      </w:r>
      <w:r w:rsidR="00743B3E" w:rsidRPr="00AA5F9D">
        <w:t>,</w:t>
      </w:r>
      <w:r w:rsidRPr="00AA5F9D">
        <w:t xml:space="preserve"> 412-417.</w:t>
      </w:r>
    </w:p>
    <w:p w14:paraId="00800883" w14:textId="3BEC7DFD" w:rsidR="00573608" w:rsidRPr="00AA5F9D" w:rsidRDefault="00573608" w:rsidP="00573608">
      <w:pPr>
        <w:widowControl w:val="0"/>
        <w:autoSpaceDE w:val="0"/>
        <w:autoSpaceDN w:val="0"/>
        <w:adjustRightInd w:val="0"/>
        <w:snapToGrid w:val="0"/>
        <w:spacing w:line="240" w:lineRule="auto"/>
      </w:pPr>
      <w:r w:rsidRPr="00AA5F9D">
        <w:t xml:space="preserve">Grün, R. </w:t>
      </w:r>
      <w:r w:rsidR="00743B3E" w:rsidRPr="00AA5F9D">
        <w:t>(</w:t>
      </w:r>
      <w:r w:rsidRPr="00AA5F9D">
        <w:t>2000a</w:t>
      </w:r>
      <w:r w:rsidR="00743B3E" w:rsidRPr="00AA5F9D">
        <w:t>)</w:t>
      </w:r>
      <w:r w:rsidR="007A5680" w:rsidRPr="00AA5F9D">
        <w:t>.</w:t>
      </w:r>
      <w:r w:rsidRPr="00AA5F9D">
        <w:t xml:space="preserve"> Methods of dose determination using ESR spectra of tooth enamel. Radiation Measurements 32(5–6), 767-772.</w:t>
      </w:r>
    </w:p>
    <w:p w14:paraId="4AD32AA2" w14:textId="1981F943" w:rsidR="00573608" w:rsidRPr="00AA5F9D" w:rsidRDefault="00573608" w:rsidP="00573608">
      <w:pPr>
        <w:widowControl w:val="0"/>
        <w:autoSpaceDE w:val="0"/>
        <w:autoSpaceDN w:val="0"/>
        <w:adjustRightInd w:val="0"/>
        <w:snapToGrid w:val="0"/>
        <w:spacing w:line="240" w:lineRule="auto"/>
      </w:pPr>
      <w:r w:rsidRPr="00AA5F9D">
        <w:t xml:space="preserve">Grün, R. </w:t>
      </w:r>
      <w:r w:rsidR="00743B3E" w:rsidRPr="00AA5F9D">
        <w:t>(</w:t>
      </w:r>
      <w:r w:rsidRPr="00AA5F9D">
        <w:t>2000b</w:t>
      </w:r>
      <w:r w:rsidR="00743B3E" w:rsidRPr="00AA5F9D">
        <w:t>)</w:t>
      </w:r>
      <w:r w:rsidR="00567DD4">
        <w:t>.</w:t>
      </w:r>
      <w:r w:rsidRPr="00AA5F9D">
        <w:t xml:space="preserve"> An alternative model for open system U-series/ESR age calculations: (closed system U-series)-ESR, CSUS-ESR. Ancient TL 18(1): 1-4. </w:t>
      </w:r>
    </w:p>
    <w:p w14:paraId="221766AA" w14:textId="7573AE1C" w:rsidR="00573608" w:rsidRPr="00AA5F9D" w:rsidRDefault="00573608" w:rsidP="00573608">
      <w:pPr>
        <w:widowControl w:val="0"/>
        <w:autoSpaceDE w:val="0"/>
        <w:autoSpaceDN w:val="0"/>
        <w:adjustRightInd w:val="0"/>
        <w:snapToGrid w:val="0"/>
        <w:spacing w:line="240" w:lineRule="auto"/>
      </w:pPr>
      <w:r w:rsidRPr="00AA5F9D">
        <w:t xml:space="preserve">Grün, R. </w:t>
      </w:r>
      <w:r w:rsidR="00743B3E" w:rsidRPr="00AA5F9D">
        <w:t>and</w:t>
      </w:r>
      <w:r w:rsidRPr="00AA5F9D">
        <w:t xml:space="preserve"> Brumby, S. </w:t>
      </w:r>
      <w:r w:rsidR="00743B3E" w:rsidRPr="00AA5F9D">
        <w:t>(1994)</w:t>
      </w:r>
      <w:r w:rsidR="009F5A5A">
        <w:t>.</w:t>
      </w:r>
      <w:r w:rsidR="00743B3E" w:rsidRPr="00AA5F9D">
        <w:t xml:space="preserve"> </w:t>
      </w:r>
      <w:r w:rsidRPr="00AA5F9D">
        <w:t>The assessment of errors in past radiation doses extrapolated from ESR/TL dose-response data. Radiation Measurements 23(2–3): 307-315.</w:t>
      </w:r>
    </w:p>
    <w:p w14:paraId="76CA5694" w14:textId="368FB22B" w:rsidR="00573608" w:rsidRPr="00AA5F9D" w:rsidRDefault="00573608" w:rsidP="00573608">
      <w:pPr>
        <w:widowControl w:val="0"/>
        <w:autoSpaceDE w:val="0"/>
        <w:autoSpaceDN w:val="0"/>
        <w:adjustRightInd w:val="0"/>
        <w:snapToGrid w:val="0"/>
        <w:spacing w:line="240" w:lineRule="auto"/>
      </w:pPr>
      <w:r w:rsidRPr="00AA5F9D">
        <w:t xml:space="preserve">Ludwig, K.R. </w:t>
      </w:r>
      <w:r w:rsidR="009F5A5A">
        <w:t>(</w:t>
      </w:r>
      <w:r w:rsidRPr="00AA5F9D">
        <w:t>2003</w:t>
      </w:r>
      <w:r w:rsidR="009F5A5A">
        <w:t>)</w:t>
      </w:r>
      <w:r w:rsidRPr="00AA5F9D">
        <w:t xml:space="preserve">. User’s manual for </w:t>
      </w:r>
      <w:proofErr w:type="spellStart"/>
      <w:r w:rsidRPr="00AA5F9D">
        <w:t>Isoplot</w:t>
      </w:r>
      <w:proofErr w:type="spellEnd"/>
      <w:r w:rsidRPr="00AA5F9D">
        <w:t xml:space="preserve">/Ex, Version 3.0, A geochronological toolkit for Microsoft Excel, Berkeley Geochronology </w:t>
      </w:r>
      <w:proofErr w:type="spellStart"/>
      <w:r w:rsidRPr="00AA5F9D">
        <w:t>Center</w:t>
      </w:r>
      <w:proofErr w:type="spellEnd"/>
      <w:r w:rsidRPr="00AA5F9D">
        <w:t xml:space="preserve"> Special Publication. Berkeley, California, USA.</w:t>
      </w:r>
    </w:p>
    <w:p w14:paraId="4B686F44" w14:textId="6A647C61" w:rsidR="00573608" w:rsidRPr="00AA5F9D" w:rsidRDefault="00573608" w:rsidP="00573608">
      <w:pPr>
        <w:widowControl w:val="0"/>
        <w:autoSpaceDE w:val="0"/>
        <w:autoSpaceDN w:val="0"/>
        <w:adjustRightInd w:val="0"/>
        <w:snapToGrid w:val="0"/>
        <w:spacing w:line="240" w:lineRule="auto"/>
      </w:pPr>
      <w:r w:rsidRPr="00AA5F9D">
        <w:t>Ludwig, K.R.</w:t>
      </w:r>
      <w:r w:rsidR="0084722B" w:rsidRPr="00AA5F9D">
        <w:t>, Simmons, K.R., Szabo, B.J., Winograd, I.J., Landwehr, J.M., Riggs, A.C., Hoffman, R.J</w:t>
      </w:r>
      <w:r w:rsidR="007A5680" w:rsidRPr="00AA5F9D">
        <w:t>.</w:t>
      </w:r>
      <w:r w:rsidRPr="00AA5F9D">
        <w:t xml:space="preserve"> </w:t>
      </w:r>
      <w:r w:rsidR="00AB1121" w:rsidRPr="00AA5F9D">
        <w:t>(</w:t>
      </w:r>
      <w:r w:rsidRPr="00AA5F9D">
        <w:t>1992</w:t>
      </w:r>
      <w:r w:rsidR="00AB1121" w:rsidRPr="00AA5F9D">
        <w:t>)</w:t>
      </w:r>
      <w:r w:rsidR="009F5A5A">
        <w:t>.</w:t>
      </w:r>
      <w:r w:rsidRPr="00AA5F9D">
        <w:t xml:space="preserve"> Mass-spectrometric </w:t>
      </w:r>
      <w:r w:rsidRPr="00AA5F9D">
        <w:rPr>
          <w:vertAlign w:val="superscript"/>
        </w:rPr>
        <w:t>230</w:t>
      </w:r>
      <w:r w:rsidRPr="00AA5F9D">
        <w:t>Th-</w:t>
      </w:r>
      <w:r w:rsidRPr="00AA5F9D">
        <w:rPr>
          <w:vertAlign w:val="superscript"/>
        </w:rPr>
        <w:t>234</w:t>
      </w:r>
      <w:r w:rsidRPr="00AA5F9D">
        <w:t>U-</w:t>
      </w:r>
      <w:r w:rsidRPr="00AA5F9D">
        <w:rPr>
          <w:vertAlign w:val="superscript"/>
        </w:rPr>
        <w:t>238</w:t>
      </w:r>
      <w:r w:rsidRPr="00AA5F9D">
        <w:t>U dating of the Devils Hole calcite vein. Science, 258(5080),</w:t>
      </w:r>
      <w:r w:rsidR="00AB1121" w:rsidRPr="00AA5F9D">
        <w:t xml:space="preserve"> </w:t>
      </w:r>
      <w:r w:rsidRPr="00AA5F9D">
        <w:t>284-287.</w:t>
      </w:r>
    </w:p>
    <w:p w14:paraId="00815528" w14:textId="16E70384" w:rsidR="00573608" w:rsidRPr="00AA5F9D" w:rsidRDefault="00743B3E" w:rsidP="00573608">
      <w:pPr>
        <w:widowControl w:val="0"/>
        <w:autoSpaceDE w:val="0"/>
        <w:autoSpaceDN w:val="0"/>
        <w:adjustRightInd w:val="0"/>
        <w:snapToGrid w:val="0"/>
        <w:spacing w:line="240" w:lineRule="auto"/>
      </w:pPr>
      <w:r w:rsidRPr="00AA5F9D">
        <w:rPr>
          <w:lang w:val="en-GB"/>
        </w:rPr>
        <w:t xml:space="preserve">McInerney, P.L., Arnold, L.J., Burke, C., </w:t>
      </w:r>
      <w:proofErr w:type="spellStart"/>
      <w:r w:rsidRPr="00AA5F9D">
        <w:rPr>
          <w:lang w:val="en-GB"/>
        </w:rPr>
        <w:t>Camens</w:t>
      </w:r>
      <w:proofErr w:type="spellEnd"/>
      <w:r w:rsidRPr="00AA5F9D">
        <w:rPr>
          <w:lang w:val="en-GB"/>
        </w:rPr>
        <w:t>, A.B., Worthy, T.H</w:t>
      </w:r>
      <w:r w:rsidR="00573608" w:rsidRPr="00AA5F9D">
        <w:rPr>
          <w:lang w:val="en-GB"/>
        </w:rPr>
        <w:t xml:space="preserve">. </w:t>
      </w:r>
      <w:r w:rsidRPr="00AA5F9D">
        <w:rPr>
          <w:lang w:val="en-GB"/>
        </w:rPr>
        <w:t>(</w:t>
      </w:r>
      <w:r w:rsidR="00573608" w:rsidRPr="00AA5F9D">
        <w:rPr>
          <w:lang w:val="en-GB"/>
        </w:rPr>
        <w:t>2022</w:t>
      </w:r>
      <w:r w:rsidRPr="00AA5F9D">
        <w:rPr>
          <w:lang w:val="en-GB"/>
        </w:rPr>
        <w:t>)</w:t>
      </w:r>
      <w:r w:rsidR="009F5A5A">
        <w:rPr>
          <w:lang w:val="en-GB"/>
        </w:rPr>
        <w:t>.</w:t>
      </w:r>
      <w:r w:rsidR="00573608" w:rsidRPr="00AA5F9D">
        <w:rPr>
          <w:lang w:val="en-GB"/>
        </w:rPr>
        <w:t xml:space="preserve"> </w:t>
      </w:r>
      <w:r w:rsidR="00573608" w:rsidRPr="00AA5F9D">
        <w:t xml:space="preserve">Multiple occurrences of pathologies suggesting a common and severe bone infection in a population of the Australian Pleistocene giant, </w:t>
      </w:r>
      <w:proofErr w:type="spellStart"/>
      <w:r w:rsidR="00573608" w:rsidRPr="00AA5F9D">
        <w:rPr>
          <w:i/>
          <w:iCs/>
        </w:rPr>
        <w:t>Genyornis</w:t>
      </w:r>
      <w:proofErr w:type="spellEnd"/>
      <w:r w:rsidR="00573608" w:rsidRPr="00AA5F9D">
        <w:rPr>
          <w:i/>
          <w:iCs/>
        </w:rPr>
        <w:t xml:space="preserve"> </w:t>
      </w:r>
      <w:proofErr w:type="spellStart"/>
      <w:r w:rsidR="00573608" w:rsidRPr="00AA5F9D">
        <w:rPr>
          <w:i/>
          <w:iCs/>
        </w:rPr>
        <w:t>newtoni</w:t>
      </w:r>
      <w:proofErr w:type="spellEnd"/>
      <w:r w:rsidR="00573608" w:rsidRPr="00AA5F9D">
        <w:t xml:space="preserve"> (Aves, </w:t>
      </w:r>
      <w:proofErr w:type="spellStart"/>
      <w:r w:rsidR="00573608" w:rsidRPr="00AA5F9D">
        <w:t>Dromornithidae</w:t>
      </w:r>
      <w:proofErr w:type="spellEnd"/>
      <w:r w:rsidR="00573608" w:rsidRPr="00AA5F9D">
        <w:t>). Papers in Palaeontology 8, e1415.</w:t>
      </w:r>
    </w:p>
    <w:p w14:paraId="7CAC7DA6" w14:textId="67C4CF16" w:rsidR="00573608" w:rsidRPr="00AA5F9D" w:rsidRDefault="00573608" w:rsidP="00573608">
      <w:pPr>
        <w:widowControl w:val="0"/>
        <w:autoSpaceDE w:val="0"/>
        <w:autoSpaceDN w:val="0"/>
        <w:adjustRightInd w:val="0"/>
        <w:snapToGrid w:val="0"/>
        <w:spacing w:line="240" w:lineRule="auto"/>
      </w:pPr>
      <w:r w:rsidRPr="00AA5F9D">
        <w:t>Zhao, J-X, Yu</w:t>
      </w:r>
      <w:r w:rsidR="007A5680" w:rsidRPr="00AA5F9D">
        <w:t>, K-F</w:t>
      </w:r>
      <w:r w:rsidR="002A0A08" w:rsidRPr="00AA5F9D">
        <w:t>.,</w:t>
      </w:r>
      <w:r w:rsidR="007A5680" w:rsidRPr="00AA5F9D">
        <w:t xml:space="preserve"> </w:t>
      </w:r>
      <w:r w:rsidRPr="00AA5F9D">
        <w:t>Feng,</w:t>
      </w:r>
      <w:r w:rsidR="007A5680" w:rsidRPr="00AA5F9D">
        <w:t xml:space="preserve"> Y-X.</w:t>
      </w:r>
      <w:r w:rsidRPr="00AA5F9D">
        <w:t xml:space="preserve"> </w:t>
      </w:r>
      <w:r w:rsidR="002A0A08" w:rsidRPr="00AA5F9D">
        <w:t>(2009)</w:t>
      </w:r>
      <w:r w:rsidR="009F5A5A">
        <w:t>.</w:t>
      </w:r>
      <w:r w:rsidR="002A0A08" w:rsidRPr="00AA5F9D">
        <w:t xml:space="preserve"> </w:t>
      </w:r>
      <w:r w:rsidRPr="00AA5F9D">
        <w:t xml:space="preserve">High-precision </w:t>
      </w:r>
      <w:r w:rsidRPr="00B62085">
        <w:rPr>
          <w:vertAlign w:val="superscript"/>
        </w:rPr>
        <w:t>238</w:t>
      </w:r>
      <w:r w:rsidRPr="00AA5F9D">
        <w:t>U-</w:t>
      </w:r>
      <w:r w:rsidRPr="00B62085">
        <w:rPr>
          <w:vertAlign w:val="superscript"/>
        </w:rPr>
        <w:t>234</w:t>
      </w:r>
      <w:r w:rsidRPr="00AA5F9D">
        <w:t>U-</w:t>
      </w:r>
      <w:r w:rsidRPr="00B62085">
        <w:rPr>
          <w:vertAlign w:val="superscript"/>
        </w:rPr>
        <w:t>230</w:t>
      </w:r>
      <w:r w:rsidRPr="00AA5F9D">
        <w:t>Th disequilibrium dating of the recent past: A review. Quaternary Geochronology 4, 423–433.</w:t>
      </w:r>
    </w:p>
    <w:p w14:paraId="70A3B4CE" w14:textId="77777777" w:rsidR="00573608" w:rsidRPr="00AA5F9D" w:rsidRDefault="00573608" w:rsidP="00573608">
      <w:pPr>
        <w:adjustRightInd w:val="0"/>
        <w:snapToGrid w:val="0"/>
        <w:spacing w:line="240" w:lineRule="auto"/>
      </w:pPr>
    </w:p>
    <w:p w14:paraId="535C27C3" w14:textId="77777777" w:rsidR="00573608" w:rsidRPr="00AA5F9D" w:rsidRDefault="00573608" w:rsidP="00573608">
      <w:pPr>
        <w:widowControl w:val="0"/>
        <w:autoSpaceDE w:val="0"/>
        <w:autoSpaceDN w:val="0"/>
        <w:adjustRightInd w:val="0"/>
        <w:snapToGrid w:val="0"/>
        <w:spacing w:line="240" w:lineRule="auto"/>
        <w:rPr>
          <w:bCs/>
          <w:lang w:val="en-US"/>
        </w:rPr>
      </w:pPr>
    </w:p>
    <w:p w14:paraId="116E5775" w14:textId="77777777" w:rsidR="00573608" w:rsidRPr="00AA5F9D" w:rsidRDefault="00573608" w:rsidP="00573608">
      <w:pPr>
        <w:adjustRightInd w:val="0"/>
        <w:snapToGrid w:val="0"/>
        <w:spacing w:line="240" w:lineRule="auto"/>
        <w:rPr>
          <w:b/>
          <w:bCs/>
          <w:lang w:val="en-GB"/>
        </w:rPr>
      </w:pPr>
    </w:p>
    <w:p w14:paraId="511DE165" w14:textId="77777777" w:rsidR="00573608" w:rsidRPr="00AA5F9D" w:rsidRDefault="00573608" w:rsidP="00573608">
      <w:pPr>
        <w:widowControl w:val="0"/>
        <w:autoSpaceDE w:val="0"/>
        <w:autoSpaceDN w:val="0"/>
        <w:adjustRightInd w:val="0"/>
        <w:snapToGrid w:val="0"/>
        <w:spacing w:line="240" w:lineRule="auto"/>
        <w:rPr>
          <w:bCs/>
        </w:rPr>
      </w:pPr>
    </w:p>
    <w:p w14:paraId="170F2C5C" w14:textId="77777777" w:rsidR="00876281" w:rsidRPr="00AA5F9D" w:rsidRDefault="00876281" w:rsidP="00573608">
      <w:pPr>
        <w:adjustRightInd w:val="0"/>
        <w:snapToGrid w:val="0"/>
        <w:spacing w:line="240" w:lineRule="auto"/>
      </w:pPr>
    </w:p>
    <w:sectPr w:rsidR="00876281" w:rsidRPr="00AA5F9D" w:rsidSect="00573608">
      <w:footerReference w:type="even"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D166" w14:textId="77777777" w:rsidR="00CA7450" w:rsidRDefault="00CA7450">
      <w:pPr>
        <w:spacing w:after="0" w:line="240" w:lineRule="auto"/>
      </w:pPr>
      <w:r>
        <w:separator/>
      </w:r>
    </w:p>
  </w:endnote>
  <w:endnote w:type="continuationSeparator" w:id="0">
    <w:p w14:paraId="09CCADAA" w14:textId="77777777" w:rsidR="00CA7450" w:rsidRDefault="00CA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9234737"/>
      <w:docPartObj>
        <w:docPartGallery w:val="Page Numbers (Bottom of Page)"/>
        <w:docPartUnique/>
      </w:docPartObj>
    </w:sdtPr>
    <w:sdtContent>
      <w:p w14:paraId="0C6F1BBF" w14:textId="77777777" w:rsidR="009D0A02" w:rsidRDefault="005C52E2" w:rsidP="005B7D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82889" w14:textId="77777777" w:rsidR="009D0A02" w:rsidRDefault="009D0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8014321"/>
      <w:docPartObj>
        <w:docPartGallery w:val="Page Numbers (Bottom of Page)"/>
        <w:docPartUnique/>
      </w:docPartObj>
    </w:sdtPr>
    <w:sdtContent>
      <w:p w14:paraId="72151CA9" w14:textId="1AA16ECD" w:rsidR="009D0A02" w:rsidRDefault="005C52E2" w:rsidP="005B7D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E098F">
          <w:rPr>
            <w:rStyle w:val="PageNumber"/>
            <w:noProof/>
          </w:rPr>
          <w:t>5</w:t>
        </w:r>
        <w:r>
          <w:rPr>
            <w:rStyle w:val="PageNumber"/>
          </w:rPr>
          <w:fldChar w:fldCharType="end"/>
        </w:r>
      </w:p>
    </w:sdtContent>
  </w:sdt>
  <w:p w14:paraId="2EF96EF7" w14:textId="77777777" w:rsidR="009D0A02" w:rsidRDefault="009D0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AA85" w14:textId="77777777" w:rsidR="00CA7450" w:rsidRDefault="00CA7450">
      <w:pPr>
        <w:spacing w:after="0" w:line="240" w:lineRule="auto"/>
      </w:pPr>
      <w:r>
        <w:separator/>
      </w:r>
    </w:p>
  </w:footnote>
  <w:footnote w:type="continuationSeparator" w:id="0">
    <w:p w14:paraId="5A95E4F1" w14:textId="77777777" w:rsidR="00CA7450" w:rsidRDefault="00CA7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424"/>
    <w:multiLevelType w:val="multilevel"/>
    <w:tmpl w:val="6278FE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12912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608"/>
    <w:rsid w:val="00061BD7"/>
    <w:rsid w:val="00185731"/>
    <w:rsid w:val="001A4A21"/>
    <w:rsid w:val="002671CE"/>
    <w:rsid w:val="00275FA8"/>
    <w:rsid w:val="002A0A08"/>
    <w:rsid w:val="002A3232"/>
    <w:rsid w:val="002A3E43"/>
    <w:rsid w:val="00355264"/>
    <w:rsid w:val="00356A26"/>
    <w:rsid w:val="00394F1E"/>
    <w:rsid w:val="004D0966"/>
    <w:rsid w:val="005118CF"/>
    <w:rsid w:val="005305D6"/>
    <w:rsid w:val="00567DD4"/>
    <w:rsid w:val="00573608"/>
    <w:rsid w:val="005C52E2"/>
    <w:rsid w:val="006064F9"/>
    <w:rsid w:val="00675E62"/>
    <w:rsid w:val="006E106D"/>
    <w:rsid w:val="00743B3E"/>
    <w:rsid w:val="0074772B"/>
    <w:rsid w:val="0079423B"/>
    <w:rsid w:val="007A5680"/>
    <w:rsid w:val="0084722B"/>
    <w:rsid w:val="00876281"/>
    <w:rsid w:val="0089131B"/>
    <w:rsid w:val="008B1BAC"/>
    <w:rsid w:val="008B236A"/>
    <w:rsid w:val="009D0A02"/>
    <w:rsid w:val="009F5A5A"/>
    <w:rsid w:val="00A34712"/>
    <w:rsid w:val="00A36A1E"/>
    <w:rsid w:val="00A62EA0"/>
    <w:rsid w:val="00A978DB"/>
    <w:rsid w:val="00AA5F9D"/>
    <w:rsid w:val="00AB1121"/>
    <w:rsid w:val="00AE098F"/>
    <w:rsid w:val="00B249CF"/>
    <w:rsid w:val="00B62085"/>
    <w:rsid w:val="00B94AB1"/>
    <w:rsid w:val="00BD1DFD"/>
    <w:rsid w:val="00BD25A8"/>
    <w:rsid w:val="00C702A6"/>
    <w:rsid w:val="00CA7450"/>
    <w:rsid w:val="00D9188E"/>
    <w:rsid w:val="00DA40DE"/>
    <w:rsid w:val="00DC4F37"/>
    <w:rsid w:val="00E110E0"/>
    <w:rsid w:val="00E127BB"/>
    <w:rsid w:val="00EC611F"/>
    <w:rsid w:val="00F16D14"/>
    <w:rsid w:val="00F235D8"/>
    <w:rsid w:val="00F90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FCF7"/>
  <w15:chartTrackingRefBased/>
  <w15:docId w15:val="{573F067A-562B-064F-9E23-07D36D4D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n-AU"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6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6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36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36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36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36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36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6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6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36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36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36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36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36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360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7360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736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6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36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3608"/>
    <w:rPr>
      <w:i/>
      <w:iCs/>
      <w:color w:val="404040" w:themeColor="text1" w:themeTint="BF"/>
    </w:rPr>
  </w:style>
  <w:style w:type="paragraph" w:styleId="ListParagraph">
    <w:name w:val="List Paragraph"/>
    <w:basedOn w:val="Normal"/>
    <w:uiPriority w:val="34"/>
    <w:qFormat/>
    <w:rsid w:val="00573608"/>
    <w:pPr>
      <w:ind w:left="720"/>
      <w:contextualSpacing/>
    </w:pPr>
  </w:style>
  <w:style w:type="character" w:styleId="IntenseEmphasis">
    <w:name w:val="Intense Emphasis"/>
    <w:basedOn w:val="DefaultParagraphFont"/>
    <w:uiPriority w:val="21"/>
    <w:qFormat/>
    <w:rsid w:val="00573608"/>
    <w:rPr>
      <w:i/>
      <w:iCs/>
      <w:color w:val="0F4761" w:themeColor="accent1" w:themeShade="BF"/>
    </w:rPr>
  </w:style>
  <w:style w:type="paragraph" w:styleId="IntenseQuote">
    <w:name w:val="Intense Quote"/>
    <w:basedOn w:val="Normal"/>
    <w:next w:val="Normal"/>
    <w:link w:val="IntenseQuoteChar"/>
    <w:uiPriority w:val="30"/>
    <w:qFormat/>
    <w:rsid w:val="00573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608"/>
    <w:rPr>
      <w:i/>
      <w:iCs/>
      <w:color w:val="0F4761" w:themeColor="accent1" w:themeShade="BF"/>
    </w:rPr>
  </w:style>
  <w:style w:type="character" w:styleId="IntenseReference">
    <w:name w:val="Intense Reference"/>
    <w:basedOn w:val="DefaultParagraphFont"/>
    <w:uiPriority w:val="32"/>
    <w:qFormat/>
    <w:rsid w:val="00573608"/>
    <w:rPr>
      <w:b/>
      <w:bCs/>
      <w:smallCaps/>
      <w:color w:val="0F4761" w:themeColor="accent1" w:themeShade="BF"/>
      <w:spacing w:val="5"/>
    </w:rPr>
  </w:style>
  <w:style w:type="paragraph" w:customStyle="1" w:styleId="Default">
    <w:name w:val="Default"/>
    <w:rsid w:val="00573608"/>
    <w:pPr>
      <w:pBdr>
        <w:top w:val="nil"/>
        <w:left w:val="nil"/>
        <w:bottom w:val="nil"/>
        <w:right w:val="nil"/>
        <w:between w:val="nil"/>
        <w:bar w:val="nil"/>
      </w:pBdr>
      <w:spacing w:before="160" w:after="0" w:line="240" w:lineRule="auto"/>
    </w:pPr>
    <w:rPr>
      <w:rFonts w:eastAsia="Arial Unicode MS" w:cs="Arial Unicode MS"/>
      <w:color w:val="000000"/>
      <w:kern w:val="0"/>
      <w:sz w:val="26"/>
      <w:szCs w:val="26"/>
      <w:bdr w:val="nil"/>
      <w:lang w:val="it-IT" w:eastAsia="en-GB"/>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573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608"/>
  </w:style>
  <w:style w:type="character" w:styleId="PageNumber">
    <w:name w:val="page number"/>
    <w:basedOn w:val="DefaultParagraphFont"/>
    <w:uiPriority w:val="99"/>
    <w:semiHidden/>
    <w:unhideWhenUsed/>
    <w:rsid w:val="00573608"/>
  </w:style>
  <w:style w:type="character" w:customStyle="1" w:styleId="anchor-text">
    <w:name w:val="anchor-text"/>
    <w:basedOn w:val="DefaultParagraphFont"/>
    <w:rsid w:val="00573608"/>
  </w:style>
  <w:style w:type="paragraph" w:styleId="BalloonText">
    <w:name w:val="Balloon Text"/>
    <w:basedOn w:val="Normal"/>
    <w:link w:val="BalloonTextChar"/>
    <w:uiPriority w:val="99"/>
    <w:semiHidden/>
    <w:unhideWhenUsed/>
    <w:rsid w:val="00355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264"/>
    <w:rPr>
      <w:rFonts w:ascii="Segoe UI" w:hAnsi="Segoe UI" w:cs="Segoe UI"/>
      <w:sz w:val="18"/>
      <w:szCs w:val="18"/>
    </w:rPr>
  </w:style>
  <w:style w:type="paragraph" w:styleId="Revision">
    <w:name w:val="Revision"/>
    <w:hidden/>
    <w:uiPriority w:val="99"/>
    <w:semiHidden/>
    <w:rsid w:val="00B620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4337</Words>
  <Characters>24722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Gillespie</dc:creator>
  <cp:keywords/>
  <dc:description/>
  <cp:lastModifiedBy>Matt Harris</cp:lastModifiedBy>
  <cp:revision>2</cp:revision>
  <dcterms:created xsi:type="dcterms:W3CDTF">2025-12-02T01:49:00Z</dcterms:created>
  <dcterms:modified xsi:type="dcterms:W3CDTF">2025-12-02T01:49:00Z</dcterms:modified>
</cp:coreProperties>
</file>